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6995D" w14:textId="77777777" w:rsidR="00924045" w:rsidRPr="00333640" w:rsidRDefault="00924045" w:rsidP="00333640">
      <w:pPr>
        <w:pStyle w:val="Heading1"/>
        <w:jc w:val="right"/>
      </w:pPr>
      <w:r w:rsidRPr="00333640">
        <w:t xml:space="preserve">The ISP Column </w:t>
      </w:r>
    </w:p>
    <w:p w14:paraId="222651BD" w14:textId="77777777" w:rsidR="00924045" w:rsidRPr="008866B3" w:rsidRDefault="00924045" w:rsidP="008866B3">
      <w:pPr>
        <w:jc w:val="right"/>
        <w:rPr>
          <w:i/>
          <w:szCs w:val="20"/>
        </w:rPr>
      </w:pPr>
      <w:r w:rsidRPr="008866B3">
        <w:rPr>
          <w:i/>
          <w:szCs w:val="20"/>
        </w:rPr>
        <w:t>A monthly column on things Internet</w:t>
      </w:r>
    </w:p>
    <w:p w14:paraId="331A880B" w14:textId="77777777" w:rsidR="008866B3" w:rsidRPr="008866B3" w:rsidRDefault="008866B3" w:rsidP="00576C45">
      <w:pPr>
        <w:pBdr>
          <w:bottom w:val="single" w:sz="4" w:space="1" w:color="7F7F7F"/>
        </w:pBdr>
        <w:rPr>
          <w:sz w:val="16"/>
          <w:szCs w:val="16"/>
        </w:rPr>
      </w:pPr>
    </w:p>
    <w:p w14:paraId="0C847EDA" w14:textId="77777777" w:rsidR="00360597"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632"/>
      </w:tblGrid>
      <w:tr w:rsidR="002E2F02" w:rsidRPr="00117197" w14:paraId="70DDB045" w14:textId="77777777" w:rsidTr="00944B24">
        <w:trPr>
          <w:tblCellSpacing w:w="0" w:type="dxa"/>
        </w:trPr>
        <w:tc>
          <w:tcPr>
            <w:tcW w:w="5000" w:type="pct"/>
          </w:tcPr>
          <w:p w14:paraId="65C5D087" w14:textId="4BD96344" w:rsidR="002E2F02" w:rsidRPr="00A236D7" w:rsidRDefault="004C567E" w:rsidP="00E72B95">
            <w:pPr>
              <w:jc w:val="right"/>
              <w:rPr>
                <w:szCs w:val="22"/>
              </w:rPr>
            </w:pPr>
            <w:r>
              <w:rPr>
                <w:szCs w:val="22"/>
              </w:rPr>
              <w:t>January</w:t>
            </w:r>
            <w:r w:rsidR="00E7454C">
              <w:rPr>
                <w:szCs w:val="22"/>
              </w:rPr>
              <w:t xml:space="preserve"> 20</w:t>
            </w:r>
            <w:r w:rsidR="00624C11">
              <w:rPr>
                <w:szCs w:val="22"/>
              </w:rPr>
              <w:t>2</w:t>
            </w:r>
            <w:r w:rsidR="00974A80">
              <w:rPr>
                <w:szCs w:val="22"/>
              </w:rPr>
              <w:t>5</w:t>
            </w:r>
          </w:p>
        </w:tc>
      </w:tr>
    </w:tbl>
    <w:p w14:paraId="6A6B4A2B" w14:textId="58CE4820" w:rsidR="00CC0E36" w:rsidRDefault="002E2F02" w:rsidP="00A266DA">
      <w:pPr>
        <w:jc w:val="right"/>
      </w:pPr>
      <w:r w:rsidRPr="0033284A">
        <w:t>Geoff Huston</w:t>
      </w:r>
    </w:p>
    <w:p w14:paraId="0E9420B9" w14:textId="458011A7" w:rsidR="00CC0E36" w:rsidRPr="00CC0E36" w:rsidRDefault="008824EC" w:rsidP="00CC0E36">
      <w:pPr>
        <w:pStyle w:val="Heading1"/>
      </w:pPr>
      <w:r>
        <w:t xml:space="preserve">IP </w:t>
      </w:r>
      <w:r w:rsidR="00E7454C">
        <w:t>Address</w:t>
      </w:r>
      <w:r w:rsidR="00F628FE">
        <w:t>es</w:t>
      </w:r>
      <w:r w:rsidR="00E7454C">
        <w:t xml:space="preserve"> </w:t>
      </w:r>
      <w:r>
        <w:t xml:space="preserve">through </w:t>
      </w:r>
      <w:r w:rsidR="00E7454C">
        <w:t>20</w:t>
      </w:r>
      <w:r w:rsidR="002356D2">
        <w:t>2</w:t>
      </w:r>
      <w:r w:rsidR="00974A80">
        <w:t>4</w:t>
      </w:r>
    </w:p>
    <w:p w14:paraId="63B81E37" w14:textId="3444FFBE" w:rsidR="00CC0E36" w:rsidRPr="00CC0E36" w:rsidRDefault="00CC0E36" w:rsidP="00CC0E36">
      <w:pPr>
        <w:rPr>
          <w:szCs w:val="22"/>
        </w:rPr>
      </w:pPr>
    </w:p>
    <w:p w14:paraId="1D160784" w14:textId="46B655E8" w:rsidR="00E12DA6" w:rsidRDefault="00032D0E" w:rsidP="008F04F4">
      <w:r>
        <w:t xml:space="preserve">Time for another annual roundup from the world of IP addresses. </w:t>
      </w:r>
      <w:r w:rsidR="00941FC3">
        <w:t xml:space="preserve">Let’s </w:t>
      </w:r>
      <w:r w:rsidR="00E12DA6">
        <w:t xml:space="preserve">see what has changed in the past 12 months in addressing the </w:t>
      </w:r>
      <w:r w:rsidR="0057693C">
        <w:t>Internet and</w:t>
      </w:r>
      <w:r w:rsidR="00E12DA6">
        <w:t xml:space="preserve"> look at how </w:t>
      </w:r>
      <w:r w:rsidR="00355DCE">
        <w:t xml:space="preserve">IP </w:t>
      </w:r>
      <w:r w:rsidR="00E12DA6">
        <w:t>address allocation information can inform us of the changing nature of the network itself.</w:t>
      </w:r>
    </w:p>
    <w:p w14:paraId="7DF7F192" w14:textId="77777777" w:rsidR="003714F7" w:rsidRDefault="003714F7" w:rsidP="00C51339"/>
    <w:p w14:paraId="400ED205" w14:textId="62D844D9" w:rsidR="001233B3" w:rsidRDefault="00940EF9" w:rsidP="00C51339">
      <w:r>
        <w:t xml:space="preserve">Back </w:t>
      </w:r>
      <w:r w:rsidR="001233B3">
        <w:t>around</w:t>
      </w:r>
      <w:r>
        <w:t xml:space="preserve"> 1992 the IETF gazed into the</w:t>
      </w:r>
      <w:r w:rsidR="00C9265F">
        <w:t>ir</w:t>
      </w:r>
      <w:r>
        <w:t xml:space="preserve"> crystal ball and tried to understand how the </w:t>
      </w:r>
      <w:r w:rsidR="00C9265F">
        <w:t>I</w:t>
      </w:r>
      <w:r>
        <w:t xml:space="preserve">nternet was going to evolve and what demands that would place on the addressing system as part of the “IP Next Generation” study. </w:t>
      </w:r>
      <w:r w:rsidR="001233B3">
        <w:t xml:space="preserve"> The</w:t>
      </w:r>
      <w:r>
        <w:t xml:space="preserve"> staggeringly large numbers of connected devices </w:t>
      </w:r>
      <w:r w:rsidR="001233B3">
        <w:t xml:space="preserve">that we see today </w:t>
      </w:r>
      <w:r>
        <w:t xml:space="preserve">were certainly within the range predicted by that exercise. </w:t>
      </w:r>
      <w:r w:rsidR="00052748">
        <w:t>D</w:t>
      </w:r>
      <w:r>
        <w:t>oubtless</w:t>
      </w:r>
      <w:r w:rsidR="00052748">
        <w:t>,</w:t>
      </w:r>
      <w:r>
        <w:t xml:space="preserve"> these </w:t>
      </w:r>
      <w:r w:rsidR="00052748">
        <w:t xml:space="preserve">device </w:t>
      </w:r>
      <w:r>
        <w:t>numbers will continue to grow</w:t>
      </w:r>
      <w:r w:rsidR="001233B3">
        <w:t>. W</w:t>
      </w:r>
      <w:r>
        <w:t xml:space="preserve">e continue to increase silicon </w:t>
      </w:r>
      <w:r w:rsidR="00E61A31">
        <w:t xml:space="preserve">chip </w:t>
      </w:r>
      <w:r>
        <w:t xml:space="preserve">production volumes and at the same time </w:t>
      </w:r>
      <w:r w:rsidR="00974A80">
        <w:t xml:space="preserve">we </w:t>
      </w:r>
      <w:r>
        <w:t>continue to refine the production process. B</w:t>
      </w:r>
      <w:r w:rsidR="001233B3">
        <w:t>ut, at that</w:t>
      </w:r>
      <w:r>
        <w:t xml:space="preserve"> time</w:t>
      </w:r>
      <w:r w:rsidR="001233B3">
        <w:t>,</w:t>
      </w:r>
      <w:r>
        <w:t xml:space="preserve"> we also predicted that the only way we could make the Internet work across such a massive pool of connected devices was to de</w:t>
      </w:r>
      <w:r w:rsidR="001233B3">
        <w:t xml:space="preserve">ploy a new IP protocol that came with </w:t>
      </w:r>
      <w:r>
        <w:t xml:space="preserve">a massively larger address space. It was from that reasoning that IPv6 was </w:t>
      </w:r>
      <w:r w:rsidR="001233B3">
        <w:t>designed</w:t>
      </w:r>
      <w:r w:rsidR="00052748">
        <w:t>, as t</w:t>
      </w:r>
      <w:r w:rsidR="00D6309D">
        <w:t xml:space="preserve">his </w:t>
      </w:r>
      <w:r w:rsidR="001233B3">
        <w:t>world of abundant silicon</w:t>
      </w:r>
      <w:r w:rsidR="0086109C">
        <w:t xml:space="preserve"> </w:t>
      </w:r>
      <w:r w:rsidR="0042360D">
        <w:t>processors</w:t>
      </w:r>
      <w:r w:rsidR="001233B3">
        <w:t xml:space="preserve"> </w:t>
      </w:r>
      <w:r w:rsidR="00D6309D">
        <w:t xml:space="preserve">was the issue that IPv6 was primarily intended to solve. </w:t>
      </w:r>
      <w:r w:rsidR="0085498A">
        <w:t>The copious volumes of address space were intended to allow us to uniquely assign a public IPv6 address to every such device</w:t>
      </w:r>
      <w:r w:rsidR="009D5EE0">
        <w:t>, no matter how small, or in what</w:t>
      </w:r>
      <w:r w:rsidR="00052748">
        <w:t>ever</w:t>
      </w:r>
      <w:r w:rsidR="009D5EE0">
        <w:t xml:space="preserve"> volume they might be deployed</w:t>
      </w:r>
      <w:r w:rsidR="0085498A">
        <w:t xml:space="preserve">. </w:t>
      </w:r>
    </w:p>
    <w:p w14:paraId="5CEFA76B" w14:textId="77777777" w:rsidR="001233B3" w:rsidRDefault="001233B3" w:rsidP="00C51339"/>
    <w:p w14:paraId="36E197F0" w14:textId="1088684F" w:rsidR="00E627CE" w:rsidRDefault="001233B3" w:rsidP="00C51339">
      <w:r>
        <w:t xml:space="preserve">But while the Internet has grown at such amazing </w:t>
      </w:r>
      <w:r w:rsidR="0086109C">
        <w:t>speed</w:t>
      </w:r>
      <w:r>
        <w:t xml:space="preserve">, the deployment of </w:t>
      </w:r>
      <w:r>
        <w:rPr>
          <w:rStyle w:val="PageNumber"/>
        </w:rPr>
        <w:t>IP</w:t>
      </w:r>
      <w:r>
        <w:t xml:space="preserve">v6 </w:t>
      </w:r>
      <w:r w:rsidR="000776E9">
        <w:t xml:space="preserve">continues at a more </w:t>
      </w:r>
      <w:r w:rsidR="00052748">
        <w:t>measured</w:t>
      </w:r>
      <w:r w:rsidR="000776E9">
        <w:t xml:space="preserve"> pace. There is </w:t>
      </w:r>
      <w:r w:rsidR="002356D2">
        <w:t xml:space="preserve">still </w:t>
      </w:r>
      <w:r w:rsidR="000776E9">
        <w:t xml:space="preserve">no </w:t>
      </w:r>
      <w:r w:rsidR="007B3F96">
        <w:t xml:space="preserve">evidence of any </w:t>
      </w:r>
      <w:r w:rsidR="000776E9">
        <w:t xml:space="preserve">common sense of urgency about the deployment of this protocol, and still there is no </w:t>
      </w:r>
      <w:r w:rsidR="002356D2">
        <w:t>common agreement</w:t>
      </w:r>
      <w:r w:rsidR="000776E9">
        <w:t xml:space="preserve"> that the continued relian</w:t>
      </w:r>
      <w:r w:rsidR="00E627CE">
        <w:t>ce on IP</w:t>
      </w:r>
      <w:r w:rsidR="000776E9">
        <w:t xml:space="preserve">v4 is failing us. Much of the reason for this apparent contradiction </w:t>
      </w:r>
      <w:r w:rsidR="00A22989">
        <w:t>between the designed</w:t>
      </w:r>
      <w:r w:rsidR="002356D2">
        <w:t xml:space="preserve"> population</w:t>
      </w:r>
      <w:r w:rsidR="00A22989">
        <w:t xml:space="preserve"> of the IPv4 </w:t>
      </w:r>
      <w:r w:rsidR="002356D2">
        <w:t>Internet</w:t>
      </w:r>
      <w:r w:rsidR="00A22989">
        <w:t xml:space="preserve"> and the actual </w:t>
      </w:r>
      <w:r w:rsidR="002356D2">
        <w:t>device count</w:t>
      </w:r>
      <w:r w:rsidR="00A22989">
        <w:t xml:space="preserve">, which is of course many times larger, </w:t>
      </w:r>
      <w:r w:rsidR="000776E9">
        <w:t xml:space="preserve">is that the Internet </w:t>
      </w:r>
      <w:r w:rsidR="0086109C">
        <w:t xml:space="preserve">rapidly changed from a peer-to-peer architecture to </w:t>
      </w:r>
      <w:r w:rsidR="000776E9">
        <w:t xml:space="preserve">a client/server </w:t>
      </w:r>
      <w:r w:rsidR="0086109C">
        <w:t>paradigm</w:t>
      </w:r>
      <w:r w:rsidR="000776E9">
        <w:t xml:space="preserve">. Clients can initiate network transactions with </w:t>
      </w:r>
      <w:r w:rsidR="0057693C">
        <w:t>servers but</w:t>
      </w:r>
      <w:r w:rsidR="000776E9">
        <w:t xml:space="preserve"> are incapable of initiating transactions with</w:t>
      </w:r>
      <w:r w:rsidR="00E627CE">
        <w:t xml:space="preserve"> other clients. Network Address Translators (NATs) are a natural fit to this client/server model, where pools of clients share a smaller pool of public addresses, and only require the use of an address while they have an active session with a remote server. NATs are the reason why in excess of </w:t>
      </w:r>
      <w:r w:rsidR="00EB0635">
        <w:t>3</w:t>
      </w:r>
      <w:r w:rsidR="001B27B0">
        <w:t>0</w:t>
      </w:r>
      <w:r w:rsidR="00E627CE">
        <w:t xml:space="preserve"> billion connected devices can be squeezed into some </w:t>
      </w:r>
      <w:r w:rsidR="00EB0635">
        <w:t>3</w:t>
      </w:r>
      <w:r w:rsidR="00E627CE">
        <w:t xml:space="preserve"> billion a</w:t>
      </w:r>
      <w:r w:rsidR="00EB0635">
        <w:t>dvertised</w:t>
      </w:r>
      <w:r w:rsidR="00E627CE">
        <w:t xml:space="preserve"> IPv4 addresses.</w:t>
      </w:r>
      <w:r w:rsidR="00A22989">
        <w:t xml:space="preserve"> Applications that cannot work behind NATs are no longer useful </w:t>
      </w:r>
      <w:r w:rsidR="00974A80">
        <w:t xml:space="preserve">in the context of the public Internet </w:t>
      </w:r>
      <w:r w:rsidR="00A22989">
        <w:t>and no longer used</w:t>
      </w:r>
      <w:r w:rsidR="00974A80">
        <w:t xml:space="preserve"> as a result</w:t>
      </w:r>
      <w:r w:rsidR="00A22989">
        <w:t>.</w:t>
      </w:r>
    </w:p>
    <w:p w14:paraId="1455798A" w14:textId="0CAA92B5" w:rsidR="00E627CE" w:rsidRDefault="00E627CE" w:rsidP="00C51339"/>
    <w:p w14:paraId="06CAE34D" w14:textId="11B85B97" w:rsidR="00E627CE" w:rsidRDefault="00E627CE" w:rsidP="00C51339">
      <w:r>
        <w:t>However, the pressures of this inexorable growth in the number of deployed devices</w:t>
      </w:r>
      <w:r w:rsidR="00A22989">
        <w:t xml:space="preserve"> in the Internet</w:t>
      </w:r>
      <w:r>
        <w:t xml:space="preserve"> means that the even NATs cannot </w:t>
      </w:r>
      <w:r w:rsidR="00052748">
        <w:t>absorb</w:t>
      </w:r>
      <w:r>
        <w:t xml:space="preserve"> these growth pressures forever.</w:t>
      </w:r>
      <w:r w:rsidR="00052748">
        <w:t xml:space="preserve"> NATs </w:t>
      </w:r>
      <w:r w:rsidR="002356D2">
        <w:t xml:space="preserve">can </w:t>
      </w:r>
      <w:r w:rsidR="00052748">
        <w:t xml:space="preserve">extend the effective addressable space by up to </w:t>
      </w:r>
      <w:r w:rsidR="002356D2">
        <w:t>32</w:t>
      </w:r>
      <w:r w:rsidR="00052748">
        <w:t xml:space="preserve"> </w:t>
      </w:r>
      <w:r w:rsidR="00F12D3D">
        <w:t xml:space="preserve">‘extra’ </w:t>
      </w:r>
      <w:r w:rsidR="00052748">
        <w:t>bits</w:t>
      </w:r>
      <w:r w:rsidR="00974A80">
        <w:t xml:space="preserve"> using mapping of the source and destination port fields of the TCP and UDP headers</w:t>
      </w:r>
      <w:r w:rsidR="002B75A9">
        <w:t xml:space="preserve">, and </w:t>
      </w:r>
      <w:r w:rsidR="002356D2">
        <w:t>they enable</w:t>
      </w:r>
      <w:r w:rsidR="002B75A9">
        <w:t xml:space="preserve"> the time-based sharing of </w:t>
      </w:r>
      <w:r w:rsidR="00974A80">
        <w:t xml:space="preserve">public </w:t>
      </w:r>
      <w:r w:rsidR="002B75A9">
        <w:t xml:space="preserve">addresses. Both of these </w:t>
      </w:r>
      <w:r w:rsidR="0086109C">
        <w:t xml:space="preserve">measures </w:t>
      </w:r>
      <w:r w:rsidR="002B75A9">
        <w:t>are effective</w:t>
      </w:r>
      <w:r w:rsidR="002356D2">
        <w:t xml:space="preserve"> in stretching the </w:t>
      </w:r>
      <w:r w:rsidR="0086109C">
        <w:t xml:space="preserve">IPv4 </w:t>
      </w:r>
      <w:r w:rsidR="002356D2">
        <w:t xml:space="preserve">address space to encompass a larger </w:t>
      </w:r>
      <w:r w:rsidR="0086109C">
        <w:t xml:space="preserve">client </w:t>
      </w:r>
      <w:r w:rsidR="002356D2">
        <w:t>device pool</w:t>
      </w:r>
      <w:r w:rsidR="002B75A9">
        <w:t>, but th</w:t>
      </w:r>
      <w:r w:rsidR="002356D2">
        <w:t>ey</w:t>
      </w:r>
      <w:r w:rsidR="002B75A9">
        <w:t xml:space="preserve"> do not transform the address space into an infinitely elastic resource. </w:t>
      </w:r>
      <w:r w:rsidR="002356D2">
        <w:t>The i</w:t>
      </w:r>
      <w:r>
        <w:t>nevitabl</w:t>
      </w:r>
      <w:r w:rsidR="002356D2">
        <w:t xml:space="preserve">e outcome of this process is that </w:t>
      </w:r>
      <w:r>
        <w:t xml:space="preserve">we </w:t>
      </w:r>
      <w:r w:rsidR="0086109C">
        <w:t>may</w:t>
      </w:r>
      <w:r w:rsidR="00A22989">
        <w:t xml:space="preserve"> see the fragmenting of the</w:t>
      </w:r>
      <w:r>
        <w:t xml:space="preserve"> IPv4 </w:t>
      </w:r>
      <w:r w:rsidR="002954DB">
        <w:t>Internet</w:t>
      </w:r>
      <w:r>
        <w:t xml:space="preserve"> into a number of disconnected parts</w:t>
      </w:r>
      <w:r w:rsidR="008824EC">
        <w:t>, probably based on the service ‘cones’ of the various points of presence of the content distribution servers</w:t>
      </w:r>
      <w:r>
        <w:t xml:space="preserve">, so that the entire concept of a globally unique and coherent address pool </w:t>
      </w:r>
      <w:r w:rsidR="002B75A9">
        <w:t xml:space="preserve">layered over a single coherent packet transmission realm </w:t>
      </w:r>
      <w:r>
        <w:t>will be foregone</w:t>
      </w:r>
      <w:r w:rsidR="0086109C">
        <w:t xml:space="preserve">. Alternatively, </w:t>
      </w:r>
      <w:r>
        <w:t xml:space="preserve">we </w:t>
      </w:r>
      <w:r w:rsidR="0086109C">
        <w:t>may</w:t>
      </w:r>
      <w:r>
        <w:t xml:space="preserve"> see these growth pressures motivate the further deployment of IPv6, and the emergence of IPv6-only elements of the Internet as </w:t>
      </w:r>
      <w:r w:rsidR="0086109C">
        <w:t xml:space="preserve">the network itself </w:t>
      </w:r>
      <w:r>
        <w:t>tries to maintain a cohesive and connected whole.</w:t>
      </w:r>
      <w:r w:rsidR="00A1406C">
        <w:t xml:space="preserve"> There are commercial pressures pulling the network in </w:t>
      </w:r>
      <w:proofErr w:type="gramStart"/>
      <w:r w:rsidR="00A1406C">
        <w:t>both of these</w:t>
      </w:r>
      <w:proofErr w:type="gramEnd"/>
      <w:r w:rsidR="00A1406C">
        <w:t xml:space="preserve"> directions, so it’s entirely unclear what path the Internet will follow in the </w:t>
      </w:r>
      <w:r w:rsidR="00A1406C">
        <w:lastRenderedPageBreak/>
        <w:t>coming years</w:t>
      </w:r>
      <w:r w:rsidR="002B75A9">
        <w:t>, but my (admitted</w:t>
      </w:r>
      <w:r w:rsidR="00F12D3D">
        <w:t>ly</w:t>
      </w:r>
      <w:r w:rsidR="002B75A9">
        <w:t xml:space="preserve"> cynical and perhaps </w:t>
      </w:r>
      <w:r w:rsidR="00974A80">
        <w:t xml:space="preserve">overly </w:t>
      </w:r>
      <w:r w:rsidR="002B75A9">
        <w:t xml:space="preserve">jaded) personal </w:t>
      </w:r>
      <w:r w:rsidR="00F12D3D">
        <w:t>opinion</w:t>
      </w:r>
      <w:r w:rsidR="002B75A9">
        <w:t xml:space="preserve"> lies in a future of </w:t>
      </w:r>
      <w:r w:rsidR="00F12D3D">
        <w:t>highly</w:t>
      </w:r>
      <w:r w:rsidR="002356D2">
        <w:t xml:space="preserve"> </w:t>
      </w:r>
      <w:r w:rsidR="002B75A9">
        <w:t>fragment</w:t>
      </w:r>
      <w:r w:rsidR="00F12D3D">
        <w:t>ed</w:t>
      </w:r>
      <w:r w:rsidR="002B75A9">
        <w:t xml:space="preserve"> network</w:t>
      </w:r>
      <w:r w:rsidR="00A1406C">
        <w:t>.</w:t>
      </w:r>
    </w:p>
    <w:p w14:paraId="778D74B9" w14:textId="77777777" w:rsidR="00A1406C" w:rsidRDefault="00A1406C" w:rsidP="00C51339"/>
    <w:p w14:paraId="75078FB2" w14:textId="20B2C5D7" w:rsidR="007A4CE3" w:rsidRDefault="00A1406C" w:rsidP="00C51339">
      <w:r>
        <w:t>Can address allocation data help us to shed some light on what is happening in the larger Internet? Let’s look at what happened in 20</w:t>
      </w:r>
      <w:r w:rsidR="002356D2">
        <w:t>2</w:t>
      </w:r>
      <w:r w:rsidR="00974A80">
        <w:t>4</w:t>
      </w:r>
      <w:r>
        <w:t>.</w:t>
      </w:r>
    </w:p>
    <w:p w14:paraId="75EF6A41" w14:textId="4AA814D5" w:rsidR="00460632" w:rsidRDefault="00A1406C" w:rsidP="008F04F4">
      <w:pPr>
        <w:pStyle w:val="Heading1"/>
      </w:pPr>
      <w:r>
        <w:t>IPv4 in 20</w:t>
      </w:r>
      <w:r w:rsidR="00F12D3D">
        <w:t>2</w:t>
      </w:r>
      <w:r w:rsidR="00974A80">
        <w:t>4</w:t>
      </w:r>
    </w:p>
    <w:p w14:paraId="7CCF547C" w14:textId="02D4021D" w:rsidR="003E5294" w:rsidRDefault="00A1406C" w:rsidP="00E12DA6">
      <w:r>
        <w:t>It appears that t</w:t>
      </w:r>
      <w:r w:rsidR="003E5294">
        <w:t>he process of exhausting the remaining pools of unallocated IPv4 addresses is proving to be as protracted as the process of the transition to IPv6</w:t>
      </w:r>
      <w:r w:rsidR="002B75A9">
        <w:t>, although by the end of 20</w:t>
      </w:r>
      <w:r w:rsidR="002356D2">
        <w:t>2</w:t>
      </w:r>
      <w:r w:rsidR="008824EC">
        <w:t>1</w:t>
      </w:r>
      <w:r w:rsidR="002B75A9">
        <w:t xml:space="preserve"> the end </w:t>
      </w:r>
      <w:r w:rsidR="00F12D3D">
        <w:t xml:space="preserve">of the old registry allocation model </w:t>
      </w:r>
      <w:r w:rsidR="00EB0635">
        <w:t>had effectively occurred</w:t>
      </w:r>
      <w:r w:rsidR="00F12D3D">
        <w:t xml:space="preserve"> with the depletion of the residual pools of unallocated addresses in each of the R</w:t>
      </w:r>
      <w:r w:rsidR="00A23746">
        <w:t xml:space="preserve">egional </w:t>
      </w:r>
      <w:r w:rsidR="00F12D3D">
        <w:t>I</w:t>
      </w:r>
      <w:r w:rsidR="00A23746">
        <w:t xml:space="preserve">nternet </w:t>
      </w:r>
      <w:r w:rsidR="00F12D3D">
        <w:t>R</w:t>
      </w:r>
      <w:r w:rsidR="00A23746">
        <w:t>egistries (RIRs)</w:t>
      </w:r>
      <w:r w:rsidR="002B75A9">
        <w:t>.</w:t>
      </w:r>
    </w:p>
    <w:p w14:paraId="7489682D" w14:textId="01C4EBA5" w:rsidR="004C5790" w:rsidRDefault="004C5790" w:rsidP="00E12DA6"/>
    <w:p w14:paraId="7A90D99A" w14:textId="236C1E10" w:rsidR="002356D2" w:rsidRDefault="002356D2" w:rsidP="00E12DA6">
      <w:r>
        <w:t>It is</w:t>
      </w:r>
      <w:r w:rsidR="00EB0635">
        <w:t xml:space="preserve"> </w:t>
      </w:r>
      <w:r>
        <w:t>difficult to talk about “allocations” in today’s Internet. There are still a set of transactions where addresses are drawn from the residual pools of RIR-managed available address space and allocated or assigned to network operators, but at the same time there are also a set of transactions where addresses are traded between network in what is essentially a sale. These address transfers necessarily entail a change of registration details, so the registry records the outcome of a transfer, or sale, in a manner that is similar to an allocation or assignment.</w:t>
      </w:r>
    </w:p>
    <w:p w14:paraId="7E7363F1" w14:textId="2BCE06E5" w:rsidR="002356D2" w:rsidRDefault="002356D2" w:rsidP="00E12DA6"/>
    <w:p w14:paraId="19EB39DD" w14:textId="61227F8F" w:rsidR="002356D2" w:rsidRDefault="002356D2" w:rsidP="00E12DA6">
      <w:r>
        <w:t>If we want to look at the larger picture of the amount of IPv4 address space that is used or usable by Internet network operators, then perhaps the best metric to use is the total span of allocated and assigned addresses, and the consequent indication of annual change in the change in this total address span</w:t>
      </w:r>
      <w:r w:rsidR="00386DF4">
        <w:t xml:space="preserve"> from year to year.</w:t>
      </w:r>
    </w:p>
    <w:p w14:paraId="1D614813" w14:textId="789929F2" w:rsidR="002356D2" w:rsidRDefault="002356D2" w:rsidP="00E12DA6"/>
    <w:p w14:paraId="049599C3" w14:textId="4E92A6B1" w:rsidR="00B10F56" w:rsidRPr="008420C7" w:rsidRDefault="00B10F56" w:rsidP="00B10F56">
      <w:pPr>
        <w:pStyle w:val="Sidebar"/>
        <w:rPr>
          <w:b/>
          <w:bCs/>
          <w:color w:val="000000" w:themeColor="text1"/>
          <w:sz w:val="22"/>
          <w:szCs w:val="18"/>
        </w:rPr>
      </w:pPr>
      <w:r w:rsidRPr="008420C7">
        <w:rPr>
          <w:b/>
          <w:bCs/>
          <w:color w:val="000000" w:themeColor="text1"/>
          <w:sz w:val="22"/>
          <w:szCs w:val="18"/>
        </w:rPr>
        <w:t>What is the difference between "allocated" and "assigned"?</w:t>
      </w:r>
    </w:p>
    <w:p w14:paraId="6B11A380" w14:textId="77777777" w:rsidR="00B10F56" w:rsidRPr="008420C7" w:rsidRDefault="00B10F56" w:rsidP="00B10F56">
      <w:pPr>
        <w:pStyle w:val="Sidebar"/>
        <w:rPr>
          <w:b/>
          <w:bCs/>
          <w:color w:val="000000" w:themeColor="text1"/>
          <w:sz w:val="22"/>
          <w:szCs w:val="18"/>
          <w:lang w:val="en-AU" w:eastAsia="en-US"/>
        </w:rPr>
      </w:pPr>
    </w:p>
    <w:p w14:paraId="61FCF22B" w14:textId="45EB4C28" w:rsidR="00B10F56" w:rsidRPr="008420C7" w:rsidRDefault="00B10F56" w:rsidP="00B10F56">
      <w:pPr>
        <w:pStyle w:val="Sidebar"/>
        <w:rPr>
          <w:color w:val="000000"/>
          <w:sz w:val="22"/>
          <w:szCs w:val="22"/>
        </w:rPr>
      </w:pPr>
      <w:r w:rsidRPr="008420C7">
        <w:rPr>
          <w:color w:val="000000"/>
          <w:sz w:val="22"/>
          <w:szCs w:val="18"/>
        </w:rPr>
        <w:t xml:space="preserve">When a network operator or sub-registry has received an </w:t>
      </w:r>
      <w:r w:rsidR="003737DB" w:rsidRPr="008420C7">
        <w:rPr>
          <w:i/>
          <w:iCs/>
          <w:color w:val="000000"/>
          <w:sz w:val="22"/>
          <w:szCs w:val="18"/>
        </w:rPr>
        <w:t>allocation,</w:t>
      </w:r>
      <w:r w:rsidRPr="008420C7">
        <w:rPr>
          <w:color w:val="000000"/>
          <w:sz w:val="22"/>
          <w:szCs w:val="18"/>
        </w:rPr>
        <w:t xml:space="preserve"> it can further delegate that IP address space to their customers along with using it for their own internal infrastructure.</w:t>
      </w:r>
      <w:r w:rsidRPr="008420C7">
        <w:rPr>
          <w:color w:val="000000"/>
          <w:sz w:val="22"/>
          <w:szCs w:val="22"/>
        </w:rPr>
        <w:t xml:space="preserve"> </w:t>
      </w:r>
      <w:r w:rsidRPr="008420C7">
        <w:rPr>
          <w:color w:val="000000"/>
          <w:sz w:val="22"/>
          <w:szCs w:val="18"/>
        </w:rPr>
        <w:t xml:space="preserve">When a network operator has received an </w:t>
      </w:r>
      <w:r w:rsidR="003737DB" w:rsidRPr="008420C7">
        <w:rPr>
          <w:i/>
          <w:iCs/>
          <w:color w:val="000000"/>
          <w:sz w:val="22"/>
          <w:szCs w:val="18"/>
        </w:rPr>
        <w:t>assignment,</w:t>
      </w:r>
      <w:r w:rsidRPr="008420C7">
        <w:rPr>
          <w:color w:val="000000"/>
          <w:sz w:val="22"/>
          <w:szCs w:val="18"/>
        </w:rPr>
        <w:t xml:space="preserve"> this can only be used for their own internal infrastructure. [</w:t>
      </w:r>
      <w:hyperlink r:id="rId8" w:history="1">
        <w:r w:rsidR="00974A80" w:rsidRPr="00974A80">
          <w:rPr>
            <w:rStyle w:val="Hyperlink"/>
            <w:sz w:val="18"/>
            <w:szCs w:val="13"/>
          </w:rPr>
          <w:t>https://help.apnic.net/s/article/Using-address-space</w:t>
        </w:r>
      </w:hyperlink>
      <w:r w:rsidRPr="008420C7">
        <w:rPr>
          <w:color w:val="000000"/>
          <w:sz w:val="22"/>
          <w:szCs w:val="18"/>
        </w:rPr>
        <w:t>]</w:t>
      </w:r>
    </w:p>
    <w:p w14:paraId="0887AE40" w14:textId="58347CD4" w:rsidR="00B10F56" w:rsidRPr="008420C7" w:rsidRDefault="00B10F56" w:rsidP="00B10F56">
      <w:pPr>
        <w:pStyle w:val="Sidebar"/>
        <w:rPr>
          <w:color w:val="000000"/>
          <w:sz w:val="22"/>
          <w:szCs w:val="18"/>
        </w:rPr>
      </w:pPr>
    </w:p>
    <w:p w14:paraId="26EB2A3E" w14:textId="6CC3EABB" w:rsidR="00B10F56" w:rsidRPr="008420C7" w:rsidRDefault="00B10F56" w:rsidP="00B10F56">
      <w:pPr>
        <w:pStyle w:val="Sidebar"/>
        <w:rPr>
          <w:color w:val="000000"/>
          <w:sz w:val="22"/>
          <w:szCs w:val="18"/>
        </w:rPr>
      </w:pPr>
      <w:r w:rsidRPr="008420C7">
        <w:rPr>
          <w:color w:val="000000"/>
          <w:sz w:val="22"/>
          <w:szCs w:val="18"/>
        </w:rPr>
        <w:t xml:space="preserve">I personally find the distinction between these two terms somewhat of a </w:t>
      </w:r>
      <w:r w:rsidR="0086109C">
        <w:rPr>
          <w:color w:val="000000"/>
          <w:sz w:val="22"/>
          <w:szCs w:val="18"/>
        </w:rPr>
        <w:t xml:space="preserve">distracting </w:t>
      </w:r>
      <w:r w:rsidRPr="008420C7">
        <w:rPr>
          <w:color w:val="000000"/>
          <w:sz w:val="22"/>
          <w:szCs w:val="18"/>
        </w:rPr>
        <w:t>artifice</w:t>
      </w:r>
      <w:r w:rsidR="00F12D3D" w:rsidRPr="008420C7">
        <w:rPr>
          <w:color w:val="000000"/>
          <w:sz w:val="22"/>
          <w:szCs w:val="18"/>
        </w:rPr>
        <w:t xml:space="preserve"> these days</w:t>
      </w:r>
      <w:r w:rsidRPr="008420C7">
        <w:rPr>
          <w:color w:val="000000"/>
          <w:sz w:val="22"/>
          <w:szCs w:val="18"/>
        </w:rPr>
        <w:t>, so from here on I’ll use the term “allocation” to describe both allocations and assignments</w:t>
      </w:r>
      <w:r w:rsidR="00974A80">
        <w:rPr>
          <w:color w:val="000000"/>
          <w:sz w:val="22"/>
          <w:szCs w:val="18"/>
        </w:rPr>
        <w:t>, without further distinction.</w:t>
      </w:r>
    </w:p>
    <w:p w14:paraId="5E1AB07B" w14:textId="77777777" w:rsidR="002356D2" w:rsidRPr="008420C7" w:rsidRDefault="002356D2" w:rsidP="00E12DA6">
      <w:pPr>
        <w:rPr>
          <w:sz w:val="22"/>
          <w:szCs w:val="22"/>
        </w:rPr>
      </w:pPr>
    </w:p>
    <w:p w14:paraId="28515CDE" w14:textId="77777777" w:rsidR="002356D2" w:rsidRDefault="002356D2" w:rsidP="00E12DA6"/>
    <w:p w14:paraId="5B7F9898" w14:textId="028DA7AD" w:rsidR="007A2D9F" w:rsidRDefault="003737DB" w:rsidP="007A2D9F">
      <w:r>
        <w:t>For the first time in the IPv4 Internet, t</w:t>
      </w:r>
      <w:r w:rsidR="007A2D9F">
        <w:t xml:space="preserve">he </w:t>
      </w:r>
      <w:r w:rsidR="00B10F56">
        <w:t xml:space="preserve">total IPv4 allocated address pool </w:t>
      </w:r>
      <w:r>
        <w:t>contracted</w:t>
      </w:r>
      <w:r w:rsidR="00B10F56">
        <w:t xml:space="preserve"> by some </w:t>
      </w:r>
      <w:r>
        <w:t>400 thousand</w:t>
      </w:r>
      <w:r w:rsidR="00B10F56">
        <w:t xml:space="preserve"> addresses in </w:t>
      </w:r>
      <w:r w:rsidR="00A671BE">
        <w:t>20</w:t>
      </w:r>
      <w:r w:rsidR="00B10F56">
        <w:t>2</w:t>
      </w:r>
      <w:r>
        <w:t xml:space="preserve">3, with some </w:t>
      </w:r>
      <w:r w:rsidR="00A671BE">
        <w:t>3</w:t>
      </w:r>
      <w:r w:rsidR="00ED6F80">
        <w:t>.6</w:t>
      </w:r>
      <w:r w:rsidR="00B10F56">
        <w:t>8</w:t>
      </w:r>
      <w:r w:rsidR="0086109C">
        <w:t>5</w:t>
      </w:r>
      <w:r w:rsidR="007A2D9F">
        <w:t xml:space="preserve"> </w:t>
      </w:r>
      <w:r w:rsidR="00ED6F80">
        <w:t>b</w:t>
      </w:r>
      <w:r w:rsidR="007A2D9F">
        <w:t xml:space="preserve">illion </w:t>
      </w:r>
      <w:r>
        <w:t xml:space="preserve">allocated </w:t>
      </w:r>
      <w:r w:rsidR="007A2D9F">
        <w:t xml:space="preserve">addresses </w:t>
      </w:r>
      <w:r>
        <w:t>at the end</w:t>
      </w:r>
      <w:r w:rsidR="007A2D9F">
        <w:t xml:space="preserve"> of the year</w:t>
      </w:r>
      <w:r w:rsidR="00B10F56">
        <w:t>. This</w:t>
      </w:r>
      <w:r w:rsidR="00786E34">
        <w:t xml:space="preserve"> represent</w:t>
      </w:r>
      <w:r w:rsidR="007E1B89">
        <w:t>ed</w:t>
      </w:r>
      <w:r w:rsidR="00786E34">
        <w:t xml:space="preserve"> a </w:t>
      </w:r>
      <w:r>
        <w:t xml:space="preserve">contraction of some 0.01% </w:t>
      </w:r>
      <w:r w:rsidR="007A2D9F">
        <w:t xml:space="preserve">for the </w:t>
      </w:r>
      <w:r w:rsidR="00786E34">
        <w:t xml:space="preserve">total </w:t>
      </w:r>
      <w:r w:rsidR="007A2D9F">
        <w:t xml:space="preserve">allocated </w:t>
      </w:r>
      <w:r w:rsidR="00786E34">
        <w:t xml:space="preserve">IPv4 </w:t>
      </w:r>
      <w:r w:rsidR="007A2D9F">
        <w:t>public address pool</w:t>
      </w:r>
      <w:r w:rsidR="007E1B89">
        <w:t>, a contraction that was countered by a comparable rise in the span of allocated addresses through 2024</w:t>
      </w:r>
      <w:r>
        <w:t xml:space="preserve"> </w:t>
      </w:r>
      <w:r w:rsidR="00B10F56">
        <w:t>(Table 1).</w:t>
      </w:r>
    </w:p>
    <w:p w14:paraId="620B62B6" w14:textId="77777777" w:rsidR="00B10F56" w:rsidRDefault="00B10F56" w:rsidP="007A2D9F"/>
    <w:p w14:paraId="490DDE14" w14:textId="118315C4" w:rsidR="007A2D9F" w:rsidRDefault="004150AC" w:rsidP="00B10F56">
      <w:pPr>
        <w:ind w:left="720"/>
        <w:jc w:val="left"/>
      </w:pPr>
      <w:r w:rsidRPr="004150AC">
        <w:drawing>
          <wp:inline distT="0" distB="0" distL="0" distR="0" wp14:anchorId="6CE6B16E" wp14:editId="2F33D713">
            <wp:extent cx="5549900" cy="566399"/>
            <wp:effectExtent l="0" t="0" r="0" b="5715"/>
            <wp:docPr id="1595906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06696" name=""/>
                    <pic:cNvPicPr/>
                  </pic:nvPicPr>
                  <pic:blipFill>
                    <a:blip r:embed="rId9"/>
                    <a:stretch>
                      <a:fillRect/>
                    </a:stretch>
                  </pic:blipFill>
                  <pic:spPr>
                    <a:xfrm>
                      <a:off x="0" y="0"/>
                      <a:ext cx="5980524" cy="610347"/>
                    </a:xfrm>
                    <a:prstGeom prst="rect">
                      <a:avLst/>
                    </a:prstGeom>
                  </pic:spPr>
                </pic:pic>
              </a:graphicData>
            </a:graphic>
          </wp:inline>
        </w:drawing>
      </w:r>
    </w:p>
    <w:p w14:paraId="78269306" w14:textId="6B08EC61" w:rsidR="001B27B0" w:rsidRPr="00F97602" w:rsidRDefault="007A2D9F" w:rsidP="003737DB">
      <w:pPr>
        <w:spacing w:before="80"/>
        <w:ind w:left="720"/>
        <w:rPr>
          <w:i/>
          <w:sz w:val="21"/>
          <w:szCs w:val="21"/>
        </w:rPr>
      </w:pPr>
      <w:r w:rsidRPr="00986DB8">
        <w:rPr>
          <w:i/>
          <w:sz w:val="21"/>
          <w:szCs w:val="21"/>
        </w:rPr>
        <w:t xml:space="preserve">Table 1 - IPv4 Allocated addresses by </w:t>
      </w:r>
      <w:r w:rsidR="003737DB">
        <w:rPr>
          <w:i/>
          <w:sz w:val="21"/>
          <w:szCs w:val="21"/>
        </w:rPr>
        <w:t>Y</w:t>
      </w:r>
      <w:r w:rsidRPr="00986DB8">
        <w:rPr>
          <w:i/>
          <w:sz w:val="21"/>
          <w:szCs w:val="21"/>
        </w:rPr>
        <w:t>e</w:t>
      </w:r>
      <w:r w:rsidR="001B27B0">
        <w:rPr>
          <w:i/>
          <w:sz w:val="21"/>
          <w:szCs w:val="21"/>
        </w:rPr>
        <w:t>ar</w:t>
      </w:r>
    </w:p>
    <w:p w14:paraId="60D83339" w14:textId="502F3FD4" w:rsidR="003737DB" w:rsidRDefault="003737DB" w:rsidP="00A23746">
      <w:pPr>
        <w:spacing w:before="240"/>
      </w:pPr>
      <w:r>
        <w:t xml:space="preserve">Have we exhausted all of the available sources of further IPv4 addresses? </w:t>
      </w:r>
      <w:r w:rsidR="00A23746">
        <w:t xml:space="preserve">The </w:t>
      </w:r>
      <w:r>
        <w:t xml:space="preserve">address management </w:t>
      </w:r>
      <w:r w:rsidR="00A23746">
        <w:t xml:space="preserve">model </w:t>
      </w:r>
      <w:r>
        <w:t>i</w:t>
      </w:r>
      <w:r w:rsidR="00A23746">
        <w:t xml:space="preserve">s that unallocated addresses </w:t>
      </w:r>
      <w:r>
        <w:t>a</w:t>
      </w:r>
      <w:r w:rsidR="00A23746">
        <w:t>re held in a single pool by the I</w:t>
      </w:r>
      <w:r>
        <w:t xml:space="preserve">nternet </w:t>
      </w:r>
      <w:r w:rsidR="00A23746">
        <w:t>A</w:t>
      </w:r>
      <w:r>
        <w:t xml:space="preserve">ssigned </w:t>
      </w:r>
      <w:r w:rsidR="00A23746">
        <w:t>N</w:t>
      </w:r>
      <w:r>
        <w:t xml:space="preserve">umbers </w:t>
      </w:r>
      <w:r w:rsidR="00A23746">
        <w:t>A</w:t>
      </w:r>
      <w:r>
        <w:t>uthority</w:t>
      </w:r>
      <w:r w:rsidR="00A23746">
        <w:t xml:space="preserve">, and blocks of addresses </w:t>
      </w:r>
      <w:r>
        <w:t>a</w:t>
      </w:r>
      <w:r w:rsidR="00A23746">
        <w:t>re passed to RIRs who then allocate them to various end entities, either for their own use or for further allocation. But, the IANA exhausted the last of its available address pools some years ago, and these days it holds just 3 /24 address prefixes (</w:t>
      </w:r>
      <w:hyperlink r:id="rId10" w:history="1">
        <w:r w:rsidR="0095050E" w:rsidRPr="00796FF5">
          <w:rPr>
            <w:rStyle w:val="Hyperlink"/>
            <w:sz w:val="21"/>
            <w:szCs w:val="21"/>
          </w:rPr>
          <w:t>https://www.iana.org/assignments/ipv4-</w:t>
        </w:r>
        <w:r w:rsidR="0095050E" w:rsidRPr="00796FF5">
          <w:rPr>
            <w:rStyle w:val="Hyperlink"/>
            <w:sz w:val="21"/>
            <w:szCs w:val="21"/>
          </w:rPr>
          <w:lastRenderedPageBreak/>
          <w:t>recovered-address-space/ipv4-recovered-address-space.xhtml</w:t>
        </w:r>
      </w:hyperlink>
      <w:r w:rsidR="0095050E">
        <w:t>)</w:t>
      </w:r>
      <w:r w:rsidR="00A233CB">
        <w:t>, and has done do for the past 12 years</w:t>
      </w:r>
      <w:r w:rsidR="00F97602">
        <w:t xml:space="preserve">. Because </w:t>
      </w:r>
      <w:r w:rsidR="003B3D80">
        <w:t>the</w:t>
      </w:r>
      <w:r w:rsidR="0095050E">
        <w:t xml:space="preserve"> </w:t>
      </w:r>
      <w:r w:rsidR="003B3D80">
        <w:t xml:space="preserve">option of </w:t>
      </w:r>
      <w:r w:rsidR="0095050E">
        <w:t xml:space="preserve">dividing this </w:t>
      </w:r>
      <w:r w:rsidR="00F97602">
        <w:t xml:space="preserve">tiny address </w:t>
      </w:r>
      <w:r w:rsidR="0095050E">
        <w:t>pool into 5 equal chunks of 153.6 individual address is not viable</w:t>
      </w:r>
      <w:r w:rsidR="003B3D80">
        <w:t>,</w:t>
      </w:r>
      <w:r w:rsidR="0095050E">
        <w:t xml:space="preserve"> then these addresses are likely to sit in the </w:t>
      </w:r>
      <w:r w:rsidR="003B3D80">
        <w:t>IANA R</w:t>
      </w:r>
      <w:r w:rsidR="0095050E">
        <w:t xml:space="preserve">ecovered </w:t>
      </w:r>
      <w:r w:rsidR="003B3D80">
        <w:t>A</w:t>
      </w:r>
      <w:r w:rsidR="0095050E">
        <w:t xml:space="preserve">ddress </w:t>
      </w:r>
      <w:r w:rsidR="003B3D80">
        <w:t>registry</w:t>
      </w:r>
      <w:r w:rsidR="0095050E">
        <w:t xml:space="preserve"> for some time</w:t>
      </w:r>
      <w:r>
        <w:t>.</w:t>
      </w:r>
    </w:p>
    <w:p w14:paraId="754692DC" w14:textId="77777777" w:rsidR="00B20B57" w:rsidRDefault="00B20B57" w:rsidP="00A23746">
      <w:pPr>
        <w:spacing w:before="240"/>
      </w:pPr>
    </w:p>
    <w:p w14:paraId="484EE151" w14:textId="18F96398" w:rsidR="003737DB" w:rsidRPr="00B20B57" w:rsidRDefault="003737DB" w:rsidP="003737DB">
      <w:pPr>
        <w:pStyle w:val="Sidebar"/>
        <w:ind w:left="2948"/>
        <w:contextualSpacing/>
        <w:rPr>
          <w:sz w:val="22"/>
          <w:szCs w:val="18"/>
        </w:rPr>
      </w:pPr>
      <w:r w:rsidRPr="00B20B57">
        <w:rPr>
          <w:sz w:val="22"/>
          <w:szCs w:val="18"/>
        </w:rPr>
        <w:t xml:space="preserve">That is, </w:t>
      </w:r>
      <w:r w:rsidR="0095050E" w:rsidRPr="00B20B57">
        <w:rPr>
          <w:sz w:val="22"/>
          <w:szCs w:val="18"/>
        </w:rPr>
        <w:t>until one of more of the RIRs return more prefixes recovered from the old “legacy” allocated addresses to the IANA, who would then be able to divide the pool equally and distribute them to each the 5 RIRs. This is unlikely to occur.</w:t>
      </w:r>
    </w:p>
    <w:p w14:paraId="32D11856" w14:textId="00D7C7AF" w:rsidR="006C2324" w:rsidRDefault="003B3D80" w:rsidP="00A23746">
      <w:pPr>
        <w:spacing w:before="240"/>
      </w:pPr>
      <w:r>
        <w:t xml:space="preserve">There are also addresses that have been marked by the IANA as </w:t>
      </w:r>
      <w:r w:rsidRPr="003B3D80">
        <w:rPr>
          <w:i/>
          <w:iCs/>
        </w:rPr>
        <w:t>reserved</w:t>
      </w:r>
      <w:r>
        <w:t xml:space="preserve"> (</w:t>
      </w:r>
      <w:hyperlink r:id="rId11" w:history="1">
        <w:r w:rsidR="00B20B57" w:rsidRPr="004150AC">
          <w:rPr>
            <w:rStyle w:val="Hyperlink"/>
            <w:sz w:val="21"/>
            <w:szCs w:val="21"/>
          </w:rPr>
          <w:t>https://www.iana.org/assignments/iana-ipv4-special-registry/iana-ipv4-special-registry.xhtml</w:t>
        </w:r>
      </w:hyperlink>
      <w:r>
        <w:t>)</w:t>
      </w:r>
      <w:r w:rsidR="00B20B57">
        <w:t>.</w:t>
      </w:r>
      <w:r w:rsidR="004150AC">
        <w:t xml:space="preserve"> </w:t>
      </w:r>
      <w:r w:rsidR="00B20B57">
        <w:t xml:space="preserve">This </w:t>
      </w:r>
      <w:r>
        <w:t>includ</w:t>
      </w:r>
      <w:r w:rsidR="00B20B57">
        <w:t>es</w:t>
      </w:r>
      <w:r>
        <w:t xml:space="preserve"> blocks of addresses reserved for Multicast use</w:t>
      </w:r>
      <w:r w:rsidR="00B20B57">
        <w:t xml:space="preserve">. At </w:t>
      </w:r>
      <w:r>
        <w:t>the top end of the IPv4 address space</w:t>
      </w:r>
      <w:r w:rsidR="00B20B57">
        <w:t xml:space="preserve"> registry (</w:t>
      </w:r>
      <w:hyperlink r:id="rId12" w:history="1">
        <w:r w:rsidR="00B20B57" w:rsidRPr="004150AC">
          <w:rPr>
            <w:rStyle w:val="Hyperlink"/>
            <w:sz w:val="21"/>
            <w:szCs w:val="21"/>
          </w:rPr>
          <w:t>https://www.iana.org/assignments/ipv4-address-space/ipv4-address-space.xhtml</w:t>
        </w:r>
      </w:hyperlink>
      <w:r w:rsidR="00B20B57">
        <w:t xml:space="preserve">) there is a set of addresses that are </w:t>
      </w:r>
      <w:r>
        <w:t xml:space="preserve">marked as reserved for </w:t>
      </w:r>
      <w:r w:rsidR="00B20B57">
        <w:rPr>
          <w:i/>
          <w:iCs/>
        </w:rPr>
        <w:t>F</w:t>
      </w:r>
      <w:r>
        <w:rPr>
          <w:i/>
          <w:iCs/>
        </w:rPr>
        <w:t xml:space="preserve">uture </w:t>
      </w:r>
      <w:r w:rsidR="00DD7CD8">
        <w:rPr>
          <w:i/>
          <w:iCs/>
        </w:rPr>
        <w:t>U</w:t>
      </w:r>
      <w:r>
        <w:rPr>
          <w:i/>
          <w:iCs/>
        </w:rPr>
        <w:t>se</w:t>
      </w:r>
      <w:r>
        <w:t>.</w:t>
      </w:r>
      <w:r w:rsidR="008338E7">
        <w:t xml:space="preserve"> This is a relatively large pool of </w:t>
      </w:r>
      <w:r w:rsidR="008338E7" w:rsidRPr="008338E7">
        <w:t>268</w:t>
      </w:r>
      <w:r w:rsidR="008338E7">
        <w:t>,</w:t>
      </w:r>
      <w:r w:rsidR="008338E7" w:rsidRPr="008338E7">
        <w:t>435</w:t>
      </w:r>
      <w:r w:rsidR="008338E7">
        <w:t>,</w:t>
      </w:r>
      <w:r w:rsidR="008338E7" w:rsidRPr="008338E7">
        <w:t>456</w:t>
      </w:r>
      <w:r w:rsidR="008338E7">
        <w:t xml:space="preserve"> addresses (</w:t>
      </w:r>
      <w:r w:rsidR="00B20B57">
        <w:t xml:space="preserve">the </w:t>
      </w:r>
      <w:r w:rsidR="008338E7">
        <w:t xml:space="preserve">old former “Class E” space) and if ever there was a “future” for IPv4 then it </w:t>
      </w:r>
      <w:r w:rsidR="00B20B57">
        <w:t>has well and truly come and gone</w:t>
      </w:r>
      <w:r w:rsidR="008338E7">
        <w:t xml:space="preserve">. But exactly how to unlock this space and return it to the general use pool is a problem that so far has </w:t>
      </w:r>
      <w:r w:rsidR="00B20B57">
        <w:t>not found</w:t>
      </w:r>
      <w:r w:rsidR="008338E7">
        <w:t xml:space="preserve"> a generally workable solution</w:t>
      </w:r>
      <w:r w:rsidR="00F97602">
        <w:t>, although efforts to do so have surfaced in the community from time to time</w:t>
      </w:r>
      <w:r w:rsidR="008338E7">
        <w:t>.</w:t>
      </w:r>
    </w:p>
    <w:p w14:paraId="2FF0FAB4" w14:textId="77777777" w:rsidR="00B20B57" w:rsidRDefault="00B20B57" w:rsidP="00A23746">
      <w:pPr>
        <w:spacing w:before="240"/>
      </w:pPr>
    </w:p>
    <w:p w14:paraId="6D9000BE" w14:textId="6714D389" w:rsidR="008A4643" w:rsidRDefault="008338E7" w:rsidP="008338E7">
      <w:pPr>
        <w:pStyle w:val="Sidebar"/>
        <w:rPr>
          <w:sz w:val="22"/>
          <w:szCs w:val="18"/>
        </w:rPr>
      </w:pPr>
      <w:r w:rsidRPr="008A4643">
        <w:rPr>
          <w:sz w:val="22"/>
          <w:szCs w:val="18"/>
        </w:rPr>
        <w:t xml:space="preserve">The topic of releasing the Class E space </w:t>
      </w:r>
      <w:r w:rsidR="00E26EDE">
        <w:rPr>
          <w:sz w:val="22"/>
          <w:szCs w:val="18"/>
        </w:rPr>
        <w:t xml:space="preserve">for use in the public Internet as globally routable unicast address space </w:t>
      </w:r>
      <w:r w:rsidRPr="008A4643">
        <w:rPr>
          <w:sz w:val="22"/>
          <w:szCs w:val="18"/>
        </w:rPr>
        <w:t>has been raised from time to time</w:t>
      </w:r>
      <w:r w:rsidR="00260890">
        <w:rPr>
          <w:sz w:val="22"/>
          <w:szCs w:val="18"/>
        </w:rPr>
        <w:t xml:space="preserve"> over the past 15 years or so</w:t>
      </w:r>
      <w:r w:rsidRPr="008A4643">
        <w:rPr>
          <w:sz w:val="22"/>
          <w:szCs w:val="18"/>
        </w:rPr>
        <w:t xml:space="preserve">. Some Internet drafts were published for the IETF’s consideration that either </w:t>
      </w:r>
      <w:r w:rsidR="00260890">
        <w:rPr>
          <w:sz w:val="22"/>
          <w:szCs w:val="18"/>
        </w:rPr>
        <w:t xml:space="preserve">directly </w:t>
      </w:r>
      <w:r w:rsidRPr="008A4643">
        <w:rPr>
          <w:sz w:val="22"/>
          <w:szCs w:val="18"/>
        </w:rPr>
        <w:t>proposed releasing this space</w:t>
      </w:r>
      <w:r w:rsidR="00260890">
        <w:rPr>
          <w:sz w:val="22"/>
          <w:szCs w:val="18"/>
        </w:rPr>
        <w:t xml:space="preserve"> for use</w:t>
      </w:r>
      <w:r w:rsidRPr="008A4643">
        <w:rPr>
          <w:sz w:val="22"/>
          <w:szCs w:val="18"/>
        </w:rPr>
        <w:t xml:space="preserve"> (</w:t>
      </w:r>
      <w:hyperlink r:id="rId13" w:history="1">
        <w:r w:rsidRPr="008A4643">
          <w:rPr>
            <w:rStyle w:val="Hyperlink"/>
            <w:sz w:val="20"/>
            <w:szCs w:val="15"/>
          </w:rPr>
          <w:t>https://datatracker.ietf.org/doc/html/draft-wilson-class-e-02</w:t>
        </w:r>
      </w:hyperlink>
      <w:r w:rsidRPr="008A4643">
        <w:rPr>
          <w:sz w:val="22"/>
          <w:szCs w:val="18"/>
        </w:rPr>
        <w:t>)</w:t>
      </w:r>
      <w:r w:rsidR="006C2324">
        <w:rPr>
          <w:sz w:val="22"/>
          <w:szCs w:val="18"/>
        </w:rPr>
        <w:t>,</w:t>
      </w:r>
      <w:r w:rsidRPr="008A4643">
        <w:rPr>
          <w:sz w:val="22"/>
          <w:szCs w:val="18"/>
        </w:rPr>
        <w:t xml:space="preserve"> or outlined the impediments </w:t>
      </w:r>
      <w:r w:rsidR="008A4643" w:rsidRPr="008A4643">
        <w:rPr>
          <w:sz w:val="22"/>
          <w:szCs w:val="18"/>
        </w:rPr>
        <w:t xml:space="preserve"> </w:t>
      </w:r>
      <w:r w:rsidR="008A4643">
        <w:rPr>
          <w:sz w:val="22"/>
          <w:szCs w:val="18"/>
        </w:rPr>
        <w:t xml:space="preserve">in various host and router implementations </w:t>
      </w:r>
      <w:r w:rsidR="008A4643" w:rsidRPr="008A4643">
        <w:rPr>
          <w:sz w:val="22"/>
          <w:szCs w:val="18"/>
        </w:rPr>
        <w:t xml:space="preserve">that were observed to exist </w:t>
      </w:r>
      <w:r w:rsidRPr="008A4643">
        <w:rPr>
          <w:sz w:val="22"/>
          <w:szCs w:val="18"/>
        </w:rPr>
        <w:t>in 2008 when the</w:t>
      </w:r>
      <w:r w:rsidR="00260890">
        <w:rPr>
          <w:sz w:val="22"/>
          <w:szCs w:val="18"/>
        </w:rPr>
        <w:t>se</w:t>
      </w:r>
      <w:r w:rsidRPr="008A4643">
        <w:rPr>
          <w:sz w:val="22"/>
          <w:szCs w:val="18"/>
        </w:rPr>
        <w:t xml:space="preserve"> draft</w:t>
      </w:r>
      <w:r w:rsidR="008A4643" w:rsidRPr="008A4643">
        <w:rPr>
          <w:sz w:val="22"/>
          <w:szCs w:val="18"/>
        </w:rPr>
        <w:t>s</w:t>
      </w:r>
      <w:r w:rsidRPr="008A4643">
        <w:rPr>
          <w:sz w:val="22"/>
          <w:szCs w:val="18"/>
        </w:rPr>
        <w:t xml:space="preserve"> w</w:t>
      </w:r>
      <w:r w:rsidR="008A4643" w:rsidRPr="008A4643">
        <w:rPr>
          <w:sz w:val="22"/>
          <w:szCs w:val="18"/>
        </w:rPr>
        <w:t>ere</w:t>
      </w:r>
      <w:r w:rsidRPr="008A4643">
        <w:rPr>
          <w:sz w:val="22"/>
          <w:szCs w:val="18"/>
        </w:rPr>
        <w:t xml:space="preserve"> being developed (</w:t>
      </w:r>
      <w:hyperlink r:id="rId14" w:history="1">
        <w:r w:rsidRPr="008A4643">
          <w:rPr>
            <w:rStyle w:val="Hyperlink"/>
            <w:sz w:val="20"/>
            <w:szCs w:val="15"/>
          </w:rPr>
          <w:t>https://datatracker.ietf.org/doc/html/draft-fuller-240space-02</w:t>
        </w:r>
      </w:hyperlink>
      <w:r w:rsidRPr="008A4643">
        <w:rPr>
          <w:sz w:val="22"/>
          <w:szCs w:val="18"/>
        </w:rPr>
        <w:t xml:space="preserve">). </w:t>
      </w:r>
    </w:p>
    <w:p w14:paraId="754F4D48" w14:textId="77777777" w:rsidR="008A4643" w:rsidRDefault="008A4643" w:rsidP="008338E7">
      <w:pPr>
        <w:pStyle w:val="Sidebar"/>
        <w:rPr>
          <w:sz w:val="22"/>
          <w:szCs w:val="18"/>
        </w:rPr>
      </w:pPr>
    </w:p>
    <w:p w14:paraId="06906759" w14:textId="48139DE7" w:rsidR="008338E7" w:rsidRPr="008A4643" w:rsidRDefault="008338E7" w:rsidP="008338E7">
      <w:pPr>
        <w:pStyle w:val="Sidebar"/>
        <w:rPr>
          <w:sz w:val="22"/>
          <w:szCs w:val="18"/>
        </w:rPr>
      </w:pPr>
      <w:r w:rsidRPr="008A4643">
        <w:rPr>
          <w:sz w:val="22"/>
          <w:szCs w:val="18"/>
        </w:rPr>
        <w:t xml:space="preserve">The proposals lapsed, probably due to the larger consideration at the time that the available time and resources to work on these issues were limited and </w:t>
      </w:r>
      <w:r w:rsidR="00260890">
        <w:rPr>
          <w:sz w:val="22"/>
          <w:szCs w:val="18"/>
        </w:rPr>
        <w:t xml:space="preserve">the result of </w:t>
      </w:r>
      <w:r w:rsidR="008A4643" w:rsidRPr="008A4643">
        <w:rPr>
          <w:sz w:val="22"/>
          <w:szCs w:val="18"/>
        </w:rPr>
        <w:t xml:space="preserve">effort spent in </w:t>
      </w:r>
      <w:r w:rsidR="00F97602">
        <w:rPr>
          <w:sz w:val="22"/>
          <w:szCs w:val="18"/>
        </w:rPr>
        <w:t>‘conditioning’</w:t>
      </w:r>
      <w:r w:rsidR="008A4643" w:rsidRPr="008A4643">
        <w:rPr>
          <w:sz w:val="22"/>
          <w:szCs w:val="18"/>
        </w:rPr>
        <w:t xml:space="preserve"> this </w:t>
      </w:r>
      <w:r w:rsidR="00817EE4">
        <w:rPr>
          <w:sz w:val="22"/>
          <w:szCs w:val="18"/>
        </w:rPr>
        <w:t xml:space="preserve">IPv4 </w:t>
      </w:r>
      <w:r w:rsidR="008A4643" w:rsidRPr="008A4643">
        <w:rPr>
          <w:sz w:val="22"/>
          <w:szCs w:val="18"/>
        </w:rPr>
        <w:t xml:space="preserve">space for </w:t>
      </w:r>
      <w:r w:rsidR="00817EE4">
        <w:rPr>
          <w:sz w:val="22"/>
          <w:szCs w:val="18"/>
        </w:rPr>
        <w:t xml:space="preserve">general </w:t>
      </w:r>
      <w:r w:rsidR="008A4643" w:rsidRPr="008A4643">
        <w:rPr>
          <w:sz w:val="22"/>
          <w:szCs w:val="18"/>
        </w:rPr>
        <w:t xml:space="preserve">use was only going to obtain a </w:t>
      </w:r>
      <w:r w:rsidR="00DD7CD8">
        <w:rPr>
          <w:sz w:val="22"/>
          <w:szCs w:val="18"/>
        </w:rPr>
        <w:t xml:space="preserve">very </w:t>
      </w:r>
      <w:r w:rsidR="008A4643" w:rsidRPr="008A4643">
        <w:rPr>
          <w:sz w:val="22"/>
          <w:szCs w:val="18"/>
        </w:rPr>
        <w:t xml:space="preserve">small extension in the anticipated date of depletion of the </w:t>
      </w:r>
      <w:r w:rsidR="00817EE4">
        <w:rPr>
          <w:sz w:val="22"/>
          <w:szCs w:val="18"/>
        </w:rPr>
        <w:t xml:space="preserve">remaining </w:t>
      </w:r>
      <w:r w:rsidR="008A4643" w:rsidRPr="008A4643">
        <w:rPr>
          <w:sz w:val="22"/>
          <w:szCs w:val="18"/>
        </w:rPr>
        <w:t xml:space="preserve">IPv4 address pools, while the same </w:t>
      </w:r>
      <w:r w:rsidR="00260890">
        <w:rPr>
          <w:sz w:val="22"/>
          <w:szCs w:val="18"/>
        </w:rPr>
        <w:t xml:space="preserve">amount of </w:t>
      </w:r>
      <w:r w:rsidR="008A4643" w:rsidRPr="008A4643">
        <w:rPr>
          <w:sz w:val="22"/>
          <w:szCs w:val="18"/>
        </w:rPr>
        <w:t xml:space="preserve">effort spent on working on </w:t>
      </w:r>
      <w:r w:rsidR="00260890">
        <w:rPr>
          <w:sz w:val="22"/>
          <w:szCs w:val="18"/>
        </w:rPr>
        <w:t xml:space="preserve">advancing </w:t>
      </w:r>
      <w:r w:rsidR="008A4643" w:rsidRPr="008A4643">
        <w:rPr>
          <w:sz w:val="22"/>
          <w:szCs w:val="18"/>
        </w:rPr>
        <w:t xml:space="preserve">IPv6 deployment was assumed to have a far larger beneficial outcome. </w:t>
      </w:r>
    </w:p>
    <w:p w14:paraId="16F2B082" w14:textId="776A1FF9" w:rsidR="008A4643" w:rsidRPr="008A4643" w:rsidRDefault="008A4643" w:rsidP="008338E7">
      <w:pPr>
        <w:pStyle w:val="Sidebar"/>
        <w:rPr>
          <w:sz w:val="22"/>
          <w:szCs w:val="18"/>
        </w:rPr>
      </w:pPr>
    </w:p>
    <w:p w14:paraId="3D598EDD" w14:textId="150CE7CC" w:rsidR="008A4643" w:rsidRPr="008A4643" w:rsidRDefault="008A4643" w:rsidP="008338E7">
      <w:pPr>
        <w:pStyle w:val="Sidebar"/>
        <w:rPr>
          <w:sz w:val="22"/>
          <w:szCs w:val="18"/>
        </w:rPr>
      </w:pPr>
      <w:r w:rsidRPr="008A4643">
        <w:rPr>
          <w:sz w:val="22"/>
          <w:szCs w:val="18"/>
        </w:rPr>
        <w:t>From time to time this topic reappears on various mailing lists</w:t>
      </w:r>
      <w:r w:rsidR="00A233CB">
        <w:rPr>
          <w:sz w:val="22"/>
          <w:szCs w:val="18"/>
        </w:rPr>
        <w:t xml:space="preserve"> and blogs (see </w:t>
      </w:r>
      <w:hyperlink r:id="rId15" w:history="1">
        <w:r w:rsidR="00A233CB" w:rsidRPr="00D46CE3">
          <w:rPr>
            <w:rStyle w:val="Hyperlink"/>
            <w:sz w:val="22"/>
            <w:szCs w:val="18"/>
          </w:rPr>
          <w:t>https://www.potaroo.net/ispcol/2024-09/2404.html</w:t>
        </w:r>
      </w:hyperlink>
      <w:r w:rsidR="00A233CB">
        <w:rPr>
          <w:sz w:val="22"/>
          <w:szCs w:val="18"/>
        </w:rPr>
        <w:t>, for example)</w:t>
      </w:r>
      <w:r w:rsidRPr="008A4643">
        <w:rPr>
          <w:sz w:val="22"/>
          <w:szCs w:val="18"/>
        </w:rPr>
        <w:t>, but the debates tend to circle around th</w:t>
      </w:r>
      <w:r w:rsidR="00DD7CD8">
        <w:rPr>
          <w:sz w:val="22"/>
          <w:szCs w:val="18"/>
        </w:rPr>
        <w:t>is</w:t>
      </w:r>
      <w:r w:rsidRPr="008A4643">
        <w:rPr>
          <w:sz w:val="22"/>
          <w:szCs w:val="18"/>
        </w:rPr>
        <w:t xml:space="preserve"> same set of topics one more time</w:t>
      </w:r>
      <w:r w:rsidR="00817EE4">
        <w:rPr>
          <w:sz w:val="22"/>
          <w:szCs w:val="18"/>
        </w:rPr>
        <w:t>,</w:t>
      </w:r>
      <w:r w:rsidRPr="008A4643">
        <w:rPr>
          <w:sz w:val="22"/>
          <w:szCs w:val="18"/>
        </w:rPr>
        <w:t xml:space="preserve"> and then lapse.</w:t>
      </w:r>
    </w:p>
    <w:p w14:paraId="03EE81D8" w14:textId="3F55D3F3" w:rsidR="0095050E" w:rsidRDefault="0095050E" w:rsidP="007A2D9F"/>
    <w:p w14:paraId="5AB0E246" w14:textId="3C6311D4" w:rsidR="00817EE4" w:rsidRDefault="00817EE4" w:rsidP="007A2D9F">
      <w:r>
        <w:t xml:space="preserve">As the IANA is no longer a source of </w:t>
      </w:r>
      <w:r w:rsidR="00B20B57">
        <w:t>a</w:t>
      </w:r>
      <w:r>
        <w:t>ddresses, then we need to look at the RIR practices</w:t>
      </w:r>
      <w:r w:rsidR="00B20B57">
        <w:t xml:space="preserve"> to see the life cycle of addresses from the registry’s perspective</w:t>
      </w:r>
      <w:r>
        <w:t xml:space="preserve">. When IP address space is returned to the RIR or reclaimed by the RIR according to the RIR’s policies it is normally placed in a RIR-reserved pool for a period of </w:t>
      </w:r>
      <w:r w:rsidR="00260890">
        <w:t xml:space="preserve">time and marked as </w:t>
      </w:r>
      <w:r w:rsidR="00260890" w:rsidRPr="00F97602">
        <w:rPr>
          <w:i/>
          <w:iCs/>
        </w:rPr>
        <w:t>reserved</w:t>
      </w:r>
      <w:r w:rsidR="00260890">
        <w:t xml:space="preserve"> by the RIR. </w:t>
      </w:r>
      <w:r w:rsidR="00A4067B">
        <w:t xml:space="preserve">Marking returned or recovered addresses as </w:t>
      </w:r>
      <w:r w:rsidR="00A4067B" w:rsidRPr="00F97602">
        <w:rPr>
          <w:i/>
          <w:iCs/>
        </w:rPr>
        <w:t>reserved</w:t>
      </w:r>
      <w:r w:rsidR="00A4067B">
        <w:t xml:space="preserve"> for a period of time allows various address prefix reputation and related services, including routing records, some time to record the cessation of the previous state of the addresses prefix, prior to any subsequent allocation. Following </w:t>
      </w:r>
      <w:r w:rsidR="00F97602">
        <w:t>this quarantine</w:t>
      </w:r>
      <w:r w:rsidR="00A4067B">
        <w:t xml:space="preserve"> period, which has </w:t>
      </w:r>
      <w:r w:rsidR="00F97602">
        <w:t xml:space="preserve">been </w:t>
      </w:r>
      <w:r w:rsidR="00A4067B">
        <w:t>between some months and some years, this reserved space is released for re-use.</w:t>
      </w:r>
    </w:p>
    <w:p w14:paraId="3FA210C0" w14:textId="77777777" w:rsidR="00817EE4" w:rsidRDefault="00817EE4" w:rsidP="007A2D9F"/>
    <w:p w14:paraId="1A266F3C" w14:textId="73B2953E" w:rsidR="007A2D9F" w:rsidRDefault="007A2D9F" w:rsidP="007A2D9F">
      <w:r>
        <w:t xml:space="preserve">The record of </w:t>
      </w:r>
      <w:r w:rsidR="00B10F56">
        <w:t xml:space="preserve">annual </w:t>
      </w:r>
      <w:r w:rsidR="002C6B90">
        <w:t xml:space="preserve">year-on-year </w:t>
      </w:r>
      <w:r w:rsidR="00B10F56">
        <w:t>change in</w:t>
      </w:r>
      <w:r>
        <w:t xml:space="preserve"> allocat</w:t>
      </w:r>
      <w:r w:rsidR="002C6B90">
        <w:t>ed addresses</w:t>
      </w:r>
      <w:r>
        <w:t xml:space="preserve"> per RIR over the </w:t>
      </w:r>
      <w:r w:rsidR="00B10F56">
        <w:t>same</w:t>
      </w:r>
      <w:r w:rsidR="00260890">
        <w:t xml:space="preserve"> </w:t>
      </w:r>
      <w:r w:rsidR="004150AC">
        <w:t>fourteen</w:t>
      </w:r>
      <w:r w:rsidR="00260890">
        <w:t>-year</w:t>
      </w:r>
      <w:r w:rsidR="00B10F56">
        <w:t xml:space="preserve"> period</w:t>
      </w:r>
      <w:r>
        <w:t xml:space="preserve"> is shown in Table 2. </w:t>
      </w:r>
      <w:r w:rsidR="00B10F56">
        <w:t xml:space="preserve">There are some years when the per-RIR pool </w:t>
      </w:r>
      <w:r w:rsidR="00F12D3D">
        <w:t xml:space="preserve">of allocated addresses </w:t>
      </w:r>
      <w:r w:rsidR="00B10F56">
        <w:t xml:space="preserve">shrunk </w:t>
      </w:r>
      <w:r w:rsidR="00B10F56">
        <w:lastRenderedPageBreak/>
        <w:t xml:space="preserve">is size. This </w:t>
      </w:r>
      <w:r w:rsidR="00260890">
        <w:t>i</w:t>
      </w:r>
      <w:r w:rsidR="00B10F56">
        <w:t>s generally due to inter-RIR movement of addresses, due to administrative changes in some instances and inter-RIR address transfers in other</w:t>
      </w:r>
      <w:r w:rsidR="00F12D3D">
        <w:t>s</w:t>
      </w:r>
      <w:r w:rsidR="00B10F56">
        <w:t>.</w:t>
      </w:r>
    </w:p>
    <w:p w14:paraId="4E067455" w14:textId="68A9B8FE" w:rsidR="00B10F56" w:rsidRDefault="00B10F56" w:rsidP="007A2D9F"/>
    <w:p w14:paraId="522AD97D" w14:textId="5C330693" w:rsidR="00B10F56" w:rsidRDefault="007E0BCE" w:rsidP="00B10F56">
      <w:pPr>
        <w:ind w:left="720"/>
      </w:pPr>
      <w:r w:rsidRPr="007E0BCE">
        <w:rPr>
          <w:noProof/>
        </w:rPr>
        <w:drawing>
          <wp:inline distT="0" distB="0" distL="0" distR="0" wp14:anchorId="2C902186" wp14:editId="02ED78C0">
            <wp:extent cx="5524500" cy="1158011"/>
            <wp:effectExtent l="0" t="0" r="0" b="0"/>
            <wp:docPr id="375464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64202" name=""/>
                    <pic:cNvPicPr/>
                  </pic:nvPicPr>
                  <pic:blipFill>
                    <a:blip r:embed="rId16"/>
                    <a:stretch>
                      <a:fillRect/>
                    </a:stretch>
                  </pic:blipFill>
                  <pic:spPr>
                    <a:xfrm>
                      <a:off x="0" y="0"/>
                      <a:ext cx="5590454" cy="1171836"/>
                    </a:xfrm>
                    <a:prstGeom prst="rect">
                      <a:avLst/>
                    </a:prstGeom>
                  </pic:spPr>
                </pic:pic>
              </a:graphicData>
            </a:graphic>
          </wp:inline>
        </w:drawing>
      </w:r>
    </w:p>
    <w:p w14:paraId="62AAFE20" w14:textId="28733DDC" w:rsidR="007A2D9F" w:rsidRPr="00986DB8" w:rsidRDefault="007A2D9F" w:rsidP="007A2D9F">
      <w:pPr>
        <w:spacing w:before="80"/>
        <w:ind w:left="720"/>
        <w:rPr>
          <w:i/>
          <w:sz w:val="21"/>
          <w:szCs w:val="21"/>
        </w:rPr>
      </w:pPr>
      <w:r w:rsidRPr="00986DB8">
        <w:rPr>
          <w:i/>
          <w:sz w:val="21"/>
          <w:szCs w:val="21"/>
        </w:rPr>
        <w:t xml:space="preserve">Table 2 </w:t>
      </w:r>
      <w:r w:rsidR="00E801E4">
        <w:rPr>
          <w:i/>
          <w:sz w:val="21"/>
          <w:szCs w:val="21"/>
        </w:rPr>
        <w:t>–</w:t>
      </w:r>
      <w:r w:rsidRPr="00986DB8">
        <w:rPr>
          <w:i/>
          <w:sz w:val="21"/>
          <w:szCs w:val="21"/>
        </w:rPr>
        <w:t xml:space="preserve"> </w:t>
      </w:r>
      <w:r w:rsidR="00E801E4">
        <w:rPr>
          <w:i/>
          <w:sz w:val="21"/>
          <w:szCs w:val="21"/>
        </w:rPr>
        <w:t xml:space="preserve">Annual change in </w:t>
      </w:r>
      <w:r w:rsidRPr="00986DB8">
        <w:rPr>
          <w:i/>
          <w:sz w:val="21"/>
          <w:szCs w:val="21"/>
        </w:rPr>
        <w:t>IPv4 Allocated addresses (millions) - Distribution by RIR</w:t>
      </w:r>
    </w:p>
    <w:p w14:paraId="260189E7" w14:textId="77777777" w:rsidR="009759C4" w:rsidRDefault="009759C4" w:rsidP="00AC3F61"/>
    <w:p w14:paraId="5679DE16" w14:textId="74FB872F" w:rsidR="003F5F37" w:rsidRDefault="004D20E2" w:rsidP="00AC3F61">
      <w:r>
        <w:t>Each of the RIRs are running through their final pools of IPv4 addresses.</w:t>
      </w:r>
      <w:r w:rsidR="00810BFC">
        <w:t xml:space="preserve"> </w:t>
      </w:r>
      <w:r w:rsidR="00DB29BE">
        <w:t>At the end of 202</w:t>
      </w:r>
      <w:r w:rsidR="007E0BCE">
        <w:t>4</w:t>
      </w:r>
      <w:r w:rsidR="00DB29BE">
        <w:t>, a</w:t>
      </w:r>
      <w:r w:rsidR="003F5F37">
        <w:t xml:space="preserve">cross the RIR system </w:t>
      </w:r>
      <w:r w:rsidR="001A5825">
        <w:t xml:space="preserve">there are </w:t>
      </w:r>
      <w:r w:rsidR="003F5F37">
        <w:t xml:space="preserve">some </w:t>
      </w:r>
      <w:r w:rsidR="00BA3EA1">
        <w:t>4.6</w:t>
      </w:r>
      <w:r w:rsidR="003F5F37">
        <w:t xml:space="preserve"> million addresses are in the </w:t>
      </w:r>
      <w:r w:rsidR="002C6B90">
        <w:t>A</w:t>
      </w:r>
      <w:r w:rsidR="003F5F37">
        <w:t xml:space="preserve">vailable </w:t>
      </w:r>
      <w:r w:rsidR="00BA3EA1">
        <w:t>P</w:t>
      </w:r>
      <w:r w:rsidR="003F5F37">
        <w:t xml:space="preserve">ool, </w:t>
      </w:r>
      <w:r w:rsidR="002C6B90">
        <w:t xml:space="preserve">held </w:t>
      </w:r>
      <w:r w:rsidR="003F5F37">
        <w:t>mainly in APNIC (</w:t>
      </w:r>
      <w:r w:rsidR="00BA3EA1">
        <w:t>3.6</w:t>
      </w:r>
      <w:r w:rsidR="003F5F37">
        <w:t xml:space="preserve"> million) and AFRINIC (</w:t>
      </w:r>
      <w:r w:rsidR="00BA3EA1">
        <w:t>990</w:t>
      </w:r>
      <w:r w:rsidR="003F5F37">
        <w:t xml:space="preserve"> </w:t>
      </w:r>
      <w:r w:rsidR="00BA3EA1">
        <w:t>thousand</w:t>
      </w:r>
      <w:r w:rsidR="003F5F37">
        <w:t>). Some 1</w:t>
      </w:r>
      <w:r w:rsidR="00BA3EA1">
        <w:t>0.2</w:t>
      </w:r>
      <w:r w:rsidR="003F5F37">
        <w:t xml:space="preserve"> million addresses are marked as </w:t>
      </w:r>
      <w:r w:rsidR="00810BFC">
        <w:rPr>
          <w:i/>
          <w:iCs/>
        </w:rPr>
        <w:t>R</w:t>
      </w:r>
      <w:r w:rsidR="003F5F37" w:rsidRPr="00F97602">
        <w:rPr>
          <w:i/>
          <w:iCs/>
        </w:rPr>
        <w:t>eserved</w:t>
      </w:r>
      <w:r w:rsidR="003F5F37">
        <w:t xml:space="preserve">, with </w:t>
      </w:r>
      <w:r w:rsidR="00BA3EA1">
        <w:t>4.6</w:t>
      </w:r>
      <w:r w:rsidR="003F5F37">
        <w:t xml:space="preserve"> million held by ARIN</w:t>
      </w:r>
      <w:r w:rsidR="00CC6096">
        <w:t xml:space="preserve"> and</w:t>
      </w:r>
      <w:r w:rsidR="003F5F37">
        <w:t xml:space="preserve"> </w:t>
      </w:r>
      <w:r w:rsidR="00A4067B">
        <w:t>4</w:t>
      </w:r>
      <w:r w:rsidR="00BA3EA1">
        <w:t>.4</w:t>
      </w:r>
      <w:r w:rsidR="003F5F37">
        <w:t xml:space="preserve"> million addresses held by AFRINIC</w:t>
      </w:r>
      <w:r w:rsidR="00FE0E65">
        <w:t xml:space="preserve">. </w:t>
      </w:r>
      <w:r w:rsidR="00A25C47">
        <w:t xml:space="preserve">As seen in </w:t>
      </w:r>
      <w:r w:rsidR="003F5F37">
        <w:t>Table 3</w:t>
      </w:r>
      <w:r w:rsidR="00A25C47">
        <w:t xml:space="preserve">, there has been </w:t>
      </w:r>
      <w:r w:rsidR="00BA3EA1">
        <w:t xml:space="preserve">a </w:t>
      </w:r>
      <w:r w:rsidR="00A25C47">
        <w:t xml:space="preserve">reduction in the </w:t>
      </w:r>
      <w:r w:rsidR="00810BFC">
        <w:t>R</w:t>
      </w:r>
      <w:r w:rsidR="00A25C47">
        <w:t xml:space="preserve">eserved </w:t>
      </w:r>
      <w:r w:rsidR="00BA3EA1">
        <w:t>P</w:t>
      </w:r>
      <w:r w:rsidR="00A25C47">
        <w:t xml:space="preserve">ool </w:t>
      </w:r>
      <w:r w:rsidR="00BA3EA1">
        <w:t xml:space="preserve">for all RIRs, except AFRINIC, and the major reductions were seen in APNIC (1.7M) and ARIN (600K) </w:t>
      </w:r>
      <w:r w:rsidR="00A25C47">
        <w:t xml:space="preserve">in </w:t>
      </w:r>
      <w:r w:rsidR="00810BFC">
        <w:t>ARIN (98K).</w:t>
      </w:r>
    </w:p>
    <w:p w14:paraId="79F5F48A" w14:textId="75D29DE2" w:rsidR="004D20E2" w:rsidRDefault="003F5F37" w:rsidP="00AC3F61">
      <w:r>
        <w:t xml:space="preserve"> </w:t>
      </w:r>
    </w:p>
    <w:p w14:paraId="3ED08AE9" w14:textId="3054B127" w:rsidR="00C271B5" w:rsidRDefault="00BA3EA1" w:rsidP="004D20E2">
      <w:pPr>
        <w:ind w:left="720"/>
      </w:pPr>
      <w:r w:rsidRPr="00BA3EA1">
        <w:rPr>
          <w:noProof/>
        </w:rPr>
        <w:drawing>
          <wp:inline distT="0" distB="0" distL="0" distR="0" wp14:anchorId="3C1D0214" wp14:editId="5DCB467C">
            <wp:extent cx="5099050" cy="1158297"/>
            <wp:effectExtent l="0" t="0" r="0" b="0"/>
            <wp:docPr id="37222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24935" name=""/>
                    <pic:cNvPicPr/>
                  </pic:nvPicPr>
                  <pic:blipFill>
                    <a:blip r:embed="rId17"/>
                    <a:stretch>
                      <a:fillRect/>
                    </a:stretch>
                  </pic:blipFill>
                  <pic:spPr>
                    <a:xfrm>
                      <a:off x="0" y="0"/>
                      <a:ext cx="5159843" cy="1172107"/>
                    </a:xfrm>
                    <a:prstGeom prst="rect">
                      <a:avLst/>
                    </a:prstGeom>
                  </pic:spPr>
                </pic:pic>
              </a:graphicData>
            </a:graphic>
          </wp:inline>
        </w:drawing>
      </w:r>
    </w:p>
    <w:p w14:paraId="5845FC95" w14:textId="7EDE9A98" w:rsidR="004D20E2" w:rsidRDefault="004D20E2" w:rsidP="004D20E2">
      <w:pPr>
        <w:ind w:left="720"/>
      </w:pPr>
    </w:p>
    <w:p w14:paraId="2E67076C" w14:textId="61A1099E" w:rsidR="00277333" w:rsidRPr="00960308" w:rsidRDefault="004D20E2" w:rsidP="00960308">
      <w:pPr>
        <w:ind w:left="720"/>
        <w:rPr>
          <w:i/>
          <w:iCs/>
          <w:sz w:val="21"/>
          <w:szCs w:val="21"/>
        </w:rPr>
      </w:pPr>
      <w:r w:rsidRPr="004D20E2">
        <w:rPr>
          <w:i/>
          <w:iCs/>
          <w:sz w:val="21"/>
          <w:szCs w:val="21"/>
        </w:rPr>
        <w:t>Table 3 – IPv4 Available and Reserved Pools December 202</w:t>
      </w:r>
      <w:r w:rsidR="007E1B89">
        <w:rPr>
          <w:i/>
          <w:iCs/>
          <w:sz w:val="21"/>
          <w:szCs w:val="21"/>
        </w:rPr>
        <w:t>4</w:t>
      </w:r>
    </w:p>
    <w:p w14:paraId="33F4AE4F" w14:textId="77777777" w:rsidR="007F5B47" w:rsidRDefault="007F5B47" w:rsidP="00E12DA6"/>
    <w:p w14:paraId="70C9F178" w14:textId="53C66CF5" w:rsidR="00546C52" w:rsidRDefault="007E2F48" w:rsidP="00E12DA6">
      <w:r>
        <w:t xml:space="preserve">The RIR </w:t>
      </w:r>
      <w:r w:rsidR="00E35FD0">
        <w:t xml:space="preserve">IPv4 address </w:t>
      </w:r>
      <w:r>
        <w:t xml:space="preserve">allocation volumes by year are shown in Figure </w:t>
      </w:r>
      <w:r w:rsidR="00A76CE3">
        <w:t>1</w:t>
      </w:r>
      <w:r w:rsidR="006B1583">
        <w:t xml:space="preserve">, but it is challenging to understand </w:t>
      </w:r>
      <w:r w:rsidR="00CC6096">
        <w:t xml:space="preserve">precisely </w:t>
      </w:r>
      <w:r w:rsidR="006B1583">
        <w:t xml:space="preserve">what is meant by an allocation across the entire RIR system as there are some subtle but important differences between RIRs, particularly as they relate to the handling of transfers of IPv4 addresses. </w:t>
      </w:r>
    </w:p>
    <w:p w14:paraId="7F2D59B0" w14:textId="77777777" w:rsidR="00546C52" w:rsidRDefault="00546C52" w:rsidP="00E12DA6"/>
    <w:p w14:paraId="2CACCAB7" w14:textId="31D5B7F8" w:rsidR="007E2F48" w:rsidRDefault="006B1583" w:rsidP="00E12DA6">
      <w:r>
        <w:t xml:space="preserve">In the case of </w:t>
      </w:r>
      <w:r w:rsidR="00E801E4">
        <w:t>ARIN</w:t>
      </w:r>
      <w:r w:rsidR="007C1D19">
        <w:t>,</w:t>
      </w:r>
      <w:r w:rsidR="00546C52">
        <w:t xml:space="preserve"> </w:t>
      </w:r>
      <w:r>
        <w:t>a transfer between two ARIN-serviced entities is conceptually treated as two distinct transactions: a return of the addresses to the ARIN registry and a new allocation from ARIN. The date of the transfer is recorded as the new allocation date in the records published by the RIR. Other RIRs treat a</w:t>
      </w:r>
      <w:r w:rsidR="00E801E4">
        <w:t>n address transfer in a manner analogous to a change of the nominated holder of the already-allocated addresses, and when processing a transfer</w:t>
      </w:r>
      <w:r w:rsidR="00BE1CA4">
        <w:t xml:space="preserve">, </w:t>
      </w:r>
      <w:r w:rsidR="00E801E4">
        <w:t>the RIR</w:t>
      </w:r>
      <w:r w:rsidR="00BE1CA4">
        <w:t>’s</w:t>
      </w:r>
      <w:r w:rsidR="00E801E4">
        <w:t xml:space="preserve"> </w:t>
      </w:r>
      <w:r w:rsidR="00BE1CA4">
        <w:t xml:space="preserve">records </w:t>
      </w:r>
      <w:r w:rsidR="00E801E4">
        <w:t>preserve the original allocation date</w:t>
      </w:r>
      <w:r w:rsidR="00BE1CA4">
        <w:t xml:space="preserve"> for the transferred addresses</w:t>
      </w:r>
      <w:r w:rsidR="00E801E4">
        <w:t>. When we look at the individual transaction records in the published RIR data, and collect then by year, then in the case of ARIN the collected data includes the volume of transferred addresses that were processed in that year, while the other RIRs</w:t>
      </w:r>
      <w:r w:rsidR="00546C52">
        <w:t xml:space="preserve"> only include the allocations performed in that year</w:t>
      </w:r>
      <w:r w:rsidR="00E801E4">
        <w:t xml:space="preserve">. </w:t>
      </w:r>
    </w:p>
    <w:p w14:paraId="598B134B" w14:textId="77777777" w:rsidR="00546C52" w:rsidRDefault="00546C52" w:rsidP="00E12DA6"/>
    <w:p w14:paraId="7BE9A731" w14:textId="1A0DFB78" w:rsidR="007E2F48" w:rsidRDefault="007C1D19" w:rsidP="00E12DA6">
      <w:r>
        <w:t xml:space="preserve">In order to provide a view across the entire system its necessary to </w:t>
      </w:r>
      <w:r w:rsidR="00A37879">
        <w:t xml:space="preserve">use an analysis approach that can compensate for these differences in the ways RIRs record address transactions. In this study, </w:t>
      </w:r>
      <w:r w:rsidR="00546C52">
        <w:t xml:space="preserve">an </w:t>
      </w:r>
      <w:r w:rsidR="00546C52" w:rsidRPr="00CC6096">
        <w:rPr>
          <w:i/>
          <w:iCs/>
        </w:rPr>
        <w:t>allocation</w:t>
      </w:r>
      <w:r w:rsidR="00546C52">
        <w:t xml:space="preserve"> is defined </w:t>
      </w:r>
      <w:r w:rsidR="00BE1CA4">
        <w:t xml:space="preserve">here </w:t>
      </w:r>
      <w:r w:rsidR="00546C52">
        <w:t xml:space="preserve">as a state transition in the registry records from </w:t>
      </w:r>
      <w:r w:rsidR="00546C52" w:rsidRPr="00A37879">
        <w:rPr>
          <w:i/>
          <w:iCs/>
        </w:rPr>
        <w:t>reserved</w:t>
      </w:r>
      <w:r w:rsidR="00546C52">
        <w:t xml:space="preserve"> or </w:t>
      </w:r>
      <w:r w:rsidR="00546C52" w:rsidRPr="00A37879">
        <w:rPr>
          <w:i/>
          <w:iCs/>
        </w:rPr>
        <w:t>available</w:t>
      </w:r>
      <w:r w:rsidR="00546C52">
        <w:t xml:space="preserve"> to an </w:t>
      </w:r>
      <w:r w:rsidR="00546C52" w:rsidRPr="00A37879">
        <w:rPr>
          <w:i/>
          <w:iCs/>
        </w:rPr>
        <w:t>allocated</w:t>
      </w:r>
      <w:r w:rsidR="00546C52">
        <w:t xml:space="preserve"> state. This is intended to separate out the various actions associated with processing address transfers</w:t>
      </w:r>
      <w:r w:rsidR="00A37879">
        <w:t>, which generally involve no visible state</w:t>
      </w:r>
      <w:r w:rsidR="00725F05">
        <w:t xml:space="preserve"> change</w:t>
      </w:r>
      <w:r w:rsidR="00A37879">
        <w:t xml:space="preserve">, as the transferred address block remains </w:t>
      </w:r>
      <w:r w:rsidR="00A37879" w:rsidRPr="00725F05">
        <w:t>allocated</w:t>
      </w:r>
      <w:r w:rsidR="00A37879">
        <w:t xml:space="preserve"> across the transfer, </w:t>
      </w:r>
      <w:r w:rsidR="00546C52" w:rsidRPr="00A37879">
        <w:t>from</w:t>
      </w:r>
      <w:r w:rsidR="00546C52">
        <w:t xml:space="preserve"> allocations.</w:t>
      </w:r>
      <w:r w:rsidR="00A37879">
        <w:t xml:space="preserve"> This is how the data used to generate Figure 1 has been generated from the RIR published data</w:t>
      </w:r>
      <w:r w:rsidR="00CC6096">
        <w:t xml:space="preserve">, comparing the status of the address pools at the end of each year to that of the status at the start of the year. An </w:t>
      </w:r>
      <w:r w:rsidR="00CC6096" w:rsidRPr="00CC6096">
        <w:t>allocation</w:t>
      </w:r>
      <w:r w:rsidR="00CC6096">
        <w:t xml:space="preserve"> in that year is identified if the </w:t>
      </w:r>
      <w:r w:rsidR="00CC6096">
        <w:rPr>
          <w:i/>
          <w:iCs/>
        </w:rPr>
        <w:t xml:space="preserve">allocated </w:t>
      </w:r>
      <w:r w:rsidR="00CC6096">
        <w:t xml:space="preserve">address block was not registered as </w:t>
      </w:r>
      <w:r w:rsidR="00CC6096" w:rsidRPr="00CC6096">
        <w:rPr>
          <w:i/>
          <w:iCs/>
        </w:rPr>
        <w:t>allocated</w:t>
      </w:r>
      <w:r w:rsidR="00CC6096">
        <w:t xml:space="preserve"> at the start of the year.</w:t>
      </w:r>
    </w:p>
    <w:p w14:paraId="6E67C8EF" w14:textId="77777777" w:rsidR="00810BFC" w:rsidRPr="00CC6096" w:rsidRDefault="00810BFC" w:rsidP="00E12DA6"/>
    <w:p w14:paraId="5A9C0AF8" w14:textId="5E1B7C1E" w:rsidR="007E2F48" w:rsidRDefault="008A2E01" w:rsidP="007E2F48">
      <w:pPr>
        <w:ind w:left="720"/>
      </w:pPr>
      <w:r>
        <w:rPr>
          <w:noProof/>
        </w:rPr>
        <w:lastRenderedPageBreak/>
        <w:drawing>
          <wp:inline distT="0" distB="0" distL="0" distR="0" wp14:anchorId="5F756303" wp14:editId="42D06121">
            <wp:extent cx="5289550" cy="3719489"/>
            <wp:effectExtent l="0" t="0" r="0" b="1905"/>
            <wp:docPr id="641119686" name="Picture 4" descr="A graph of a number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19686" name="Picture 4" descr="A graph of a number of different colored bars&#10;&#10;Description automatically generated"/>
                    <pic:cNvPicPr/>
                  </pic:nvPicPr>
                  <pic:blipFill>
                    <a:blip r:embed="rId18"/>
                    <a:stretch>
                      <a:fillRect/>
                    </a:stretch>
                  </pic:blipFill>
                  <pic:spPr>
                    <a:xfrm>
                      <a:off x="0" y="0"/>
                      <a:ext cx="5311199" cy="3734712"/>
                    </a:xfrm>
                    <a:prstGeom prst="rect">
                      <a:avLst/>
                    </a:prstGeom>
                  </pic:spPr>
                </pic:pic>
              </a:graphicData>
            </a:graphic>
          </wp:inline>
        </w:drawing>
      </w:r>
    </w:p>
    <w:p w14:paraId="7AC8DD90" w14:textId="2106642E" w:rsidR="007E2F48" w:rsidRPr="001C1CF8" w:rsidRDefault="007E2F48" w:rsidP="001C1CF8">
      <w:pPr>
        <w:ind w:left="720"/>
        <w:rPr>
          <w:i/>
          <w:sz w:val="21"/>
          <w:szCs w:val="21"/>
        </w:rPr>
      </w:pPr>
      <w:r w:rsidRPr="008F04F4">
        <w:rPr>
          <w:i/>
          <w:sz w:val="21"/>
          <w:szCs w:val="21"/>
        </w:rPr>
        <w:t xml:space="preserve">Figure </w:t>
      </w:r>
      <w:r w:rsidR="000A7E9F">
        <w:rPr>
          <w:i/>
          <w:sz w:val="21"/>
          <w:szCs w:val="21"/>
        </w:rPr>
        <w:t>1</w:t>
      </w:r>
      <w:r w:rsidRPr="008F04F4">
        <w:rPr>
          <w:i/>
          <w:sz w:val="21"/>
          <w:szCs w:val="21"/>
        </w:rPr>
        <w:t xml:space="preserve"> – IPv4 </w:t>
      </w:r>
      <w:r w:rsidR="00215F81">
        <w:rPr>
          <w:i/>
          <w:sz w:val="21"/>
          <w:szCs w:val="21"/>
        </w:rPr>
        <w:t xml:space="preserve">Address </w:t>
      </w:r>
      <w:r w:rsidRPr="008F04F4">
        <w:rPr>
          <w:i/>
          <w:sz w:val="21"/>
          <w:szCs w:val="21"/>
        </w:rPr>
        <w:t>Allocations by RIR by year</w:t>
      </w:r>
    </w:p>
    <w:p w14:paraId="00B69E10" w14:textId="77777777" w:rsidR="00215F81" w:rsidRDefault="00215F81" w:rsidP="00215F81"/>
    <w:p w14:paraId="498EF964" w14:textId="2574DDB2" w:rsidR="00215F81" w:rsidRDefault="00215F81" w:rsidP="00215F81">
      <w:r>
        <w:t>The number of RIR IPv4 allocations by year</w:t>
      </w:r>
      <w:r w:rsidR="00BE1CA4">
        <w:t>, once again generated by using the same data analysis technique as used for Figure 1,</w:t>
      </w:r>
      <w:r>
        <w:t xml:space="preserve"> are shown in Figure 2.</w:t>
      </w:r>
    </w:p>
    <w:p w14:paraId="0F69CADC" w14:textId="2495310E" w:rsidR="00CC6096" w:rsidRDefault="00CC6096" w:rsidP="00215F81"/>
    <w:p w14:paraId="5BA89F15" w14:textId="1AEE27DA" w:rsidR="00215F81" w:rsidRDefault="008A2E01" w:rsidP="00215F81">
      <w:pPr>
        <w:ind w:left="720"/>
        <w:rPr>
          <w:i/>
          <w:sz w:val="21"/>
          <w:szCs w:val="21"/>
        </w:rPr>
      </w:pPr>
      <w:r>
        <w:rPr>
          <w:i/>
          <w:noProof/>
          <w:sz w:val="21"/>
          <w:szCs w:val="21"/>
        </w:rPr>
        <w:drawing>
          <wp:inline distT="0" distB="0" distL="0" distR="0" wp14:anchorId="3D7B9F07" wp14:editId="3FE53ED5">
            <wp:extent cx="5384800" cy="3786467"/>
            <wp:effectExtent l="0" t="0" r="0" b="0"/>
            <wp:docPr id="7681635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63509" name="Picture 768163509"/>
                    <pic:cNvPicPr/>
                  </pic:nvPicPr>
                  <pic:blipFill>
                    <a:blip r:embed="rId19"/>
                    <a:stretch>
                      <a:fillRect/>
                    </a:stretch>
                  </pic:blipFill>
                  <pic:spPr>
                    <a:xfrm>
                      <a:off x="0" y="0"/>
                      <a:ext cx="5413284" cy="3806496"/>
                    </a:xfrm>
                    <a:prstGeom prst="rect">
                      <a:avLst/>
                    </a:prstGeom>
                  </pic:spPr>
                </pic:pic>
              </a:graphicData>
            </a:graphic>
          </wp:inline>
        </w:drawing>
      </w:r>
    </w:p>
    <w:p w14:paraId="4CC9F60F" w14:textId="7A9FB325" w:rsidR="00215F81" w:rsidRPr="001C1CF8" w:rsidRDefault="00215F81" w:rsidP="00215F81">
      <w:pPr>
        <w:ind w:left="720"/>
        <w:rPr>
          <w:i/>
          <w:sz w:val="21"/>
          <w:szCs w:val="21"/>
        </w:rPr>
      </w:pPr>
      <w:r w:rsidRPr="008F04F4">
        <w:rPr>
          <w:i/>
          <w:sz w:val="21"/>
          <w:szCs w:val="21"/>
        </w:rPr>
        <w:t xml:space="preserve">Figure </w:t>
      </w:r>
      <w:r>
        <w:rPr>
          <w:i/>
          <w:sz w:val="21"/>
          <w:szCs w:val="21"/>
        </w:rPr>
        <w:t>2</w:t>
      </w:r>
      <w:r w:rsidRPr="008F04F4">
        <w:rPr>
          <w:i/>
          <w:sz w:val="21"/>
          <w:szCs w:val="21"/>
        </w:rPr>
        <w:t xml:space="preserve"> – IPv4 Allocations by RIR by year</w:t>
      </w:r>
    </w:p>
    <w:p w14:paraId="3C7E1A76" w14:textId="77777777" w:rsidR="00215F81" w:rsidRDefault="00215F81" w:rsidP="00215F81"/>
    <w:p w14:paraId="2B4CCAD4" w14:textId="4E037B62" w:rsidR="00215F81" w:rsidRDefault="00215F81" w:rsidP="00215F81">
      <w:r>
        <w:t>It is clear from these two figures that the average size of an IPv4 address allocation has shrunk considerably in recent years, corresponding to the various IPv4 address exhaustion policies in each of the RIRs.</w:t>
      </w:r>
    </w:p>
    <w:p w14:paraId="0692FFA0" w14:textId="0D02463A" w:rsidR="00F26B42" w:rsidRDefault="00F26B42" w:rsidP="00F26B42">
      <w:pPr>
        <w:pStyle w:val="Heading3"/>
      </w:pPr>
      <w:r>
        <w:lastRenderedPageBreak/>
        <w:t>IPv4 Address Transfers</w:t>
      </w:r>
    </w:p>
    <w:p w14:paraId="707ECE1D" w14:textId="76BA855C" w:rsidR="00F26B42" w:rsidRDefault="009C75BD" w:rsidP="00E03209">
      <w:r>
        <w:t>T</w:t>
      </w:r>
      <w:r w:rsidR="00F74D74">
        <w:t xml:space="preserve">he RIRs </w:t>
      </w:r>
      <w:r>
        <w:t>permit</w:t>
      </w:r>
      <w:r w:rsidR="00F74D74">
        <w:t xml:space="preserve"> </w:t>
      </w:r>
      <w:r w:rsidR="002E7031">
        <w:t>the registration of IPv4 transfers between address holders, as a means of allowing secondary re-distribution of addresses as an alternative to return</w:t>
      </w:r>
      <w:r w:rsidR="009549DF">
        <w:t>ing</w:t>
      </w:r>
      <w:r w:rsidR="002E7031">
        <w:t xml:space="preserve"> </w:t>
      </w:r>
      <w:r w:rsidR="009549DF">
        <w:t xml:space="preserve">unused addresses </w:t>
      </w:r>
      <w:r w:rsidR="002E7031">
        <w:t xml:space="preserve">to the registry. This has been in response to the issues raised by </w:t>
      </w:r>
      <w:r w:rsidR="00B54D8C">
        <w:t xml:space="preserve">IPv4 </w:t>
      </w:r>
      <w:r w:rsidR="009549DF">
        <w:t>address exhaustion, where t</w:t>
      </w:r>
      <w:r w:rsidR="002E7031">
        <w:t xml:space="preserve">he underlying </w:t>
      </w:r>
      <w:r w:rsidR="00E35FD0">
        <w:t>motivation</w:t>
      </w:r>
      <w:r w:rsidR="002E7031">
        <w:t xml:space="preserve"> as to encourage the reuse of otherwise idle or inefficiently used address blocks through the incentives provided by a market for addresses</w:t>
      </w:r>
      <w:r w:rsidR="009549DF">
        <w:t>,</w:t>
      </w:r>
      <w:r w:rsidR="00E35FD0">
        <w:t xml:space="preserve"> and to ensure that such address movement is publically recorded in the registry system</w:t>
      </w:r>
      <w:r w:rsidR="002E7031">
        <w:t>.</w:t>
      </w:r>
    </w:p>
    <w:p w14:paraId="1521076C" w14:textId="77777777" w:rsidR="002E7031" w:rsidRDefault="002E7031" w:rsidP="00F26B42"/>
    <w:p w14:paraId="712906D4" w14:textId="48F59E28" w:rsidR="002E7031" w:rsidRDefault="002E7031" w:rsidP="00F26B42">
      <w:r>
        <w:t xml:space="preserve">The number of registered transfers in the past </w:t>
      </w:r>
      <w:r w:rsidR="00B738ED">
        <w:t>eleven</w:t>
      </w:r>
      <w:r w:rsidR="00B54D8C">
        <w:t xml:space="preserve"> years is shown in Table 4</w:t>
      </w:r>
      <w:r w:rsidR="007F72BA">
        <w:t>.</w:t>
      </w:r>
      <w:r w:rsidR="004E0D7A">
        <w:t xml:space="preserve"> This </w:t>
      </w:r>
      <w:r w:rsidR="00B738ED">
        <w:t xml:space="preserve">number of transfers </w:t>
      </w:r>
      <w:r w:rsidR="004E0D7A">
        <w:t xml:space="preserve">includes both inter-RIR and intra-RIR transfers. </w:t>
      </w:r>
      <w:r w:rsidR="00585811">
        <w:t xml:space="preserve">It also includes both the merger and acquisition-based transfers and the other grounds for of address transfers. </w:t>
      </w:r>
      <w:r w:rsidR="004E0D7A">
        <w:t>Each transfer is treated as a single transaction, and in the case of inter-RIR transfers, this is accounted in the receiving RIR’s totals.</w:t>
      </w:r>
    </w:p>
    <w:p w14:paraId="33D618F9" w14:textId="08071514" w:rsidR="006E0E0B" w:rsidRDefault="006E0E0B" w:rsidP="00AB30D1"/>
    <w:p w14:paraId="12C066C7" w14:textId="45D0F25A" w:rsidR="00AB30D1" w:rsidRDefault="005C56BF" w:rsidP="00AB30D1">
      <w:pPr>
        <w:ind w:left="720"/>
        <w:rPr>
          <w:i/>
        </w:rPr>
      </w:pPr>
      <w:r w:rsidRPr="005C56BF">
        <w:rPr>
          <w:i/>
          <w:noProof/>
        </w:rPr>
        <w:drawing>
          <wp:inline distT="0" distB="0" distL="0" distR="0" wp14:anchorId="7BEE3FEE" wp14:editId="5DDB23AC">
            <wp:extent cx="5645150" cy="1057880"/>
            <wp:effectExtent l="0" t="0" r="0" b="0"/>
            <wp:docPr id="61623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37999" name=""/>
                    <pic:cNvPicPr/>
                  </pic:nvPicPr>
                  <pic:blipFill>
                    <a:blip r:embed="rId20"/>
                    <a:stretch>
                      <a:fillRect/>
                    </a:stretch>
                  </pic:blipFill>
                  <pic:spPr>
                    <a:xfrm>
                      <a:off x="0" y="0"/>
                      <a:ext cx="5695671" cy="1067347"/>
                    </a:xfrm>
                    <a:prstGeom prst="rect">
                      <a:avLst/>
                    </a:prstGeom>
                  </pic:spPr>
                </pic:pic>
              </a:graphicData>
            </a:graphic>
          </wp:inline>
        </w:drawing>
      </w:r>
    </w:p>
    <w:p w14:paraId="47CB8B36" w14:textId="77777777" w:rsidR="005D62E1" w:rsidRPr="005D62E1" w:rsidRDefault="005D62E1" w:rsidP="00AB30D1">
      <w:pPr>
        <w:ind w:left="720"/>
        <w:rPr>
          <w:i/>
          <w:sz w:val="13"/>
          <w:szCs w:val="13"/>
        </w:rPr>
      </w:pPr>
    </w:p>
    <w:p w14:paraId="1E75EC79" w14:textId="68FA7BE3" w:rsidR="006E0E0B" w:rsidRPr="008F04F4" w:rsidRDefault="00B54D8C" w:rsidP="006E0E0B">
      <w:pPr>
        <w:ind w:left="720"/>
        <w:rPr>
          <w:i/>
          <w:sz w:val="21"/>
        </w:rPr>
      </w:pPr>
      <w:r w:rsidRPr="008F04F4">
        <w:rPr>
          <w:i/>
          <w:sz w:val="21"/>
        </w:rPr>
        <w:t>Table 4</w:t>
      </w:r>
      <w:r w:rsidR="006E0E0B" w:rsidRPr="008F04F4">
        <w:rPr>
          <w:i/>
          <w:sz w:val="21"/>
        </w:rPr>
        <w:t xml:space="preserve"> - IPv4 Address Transfer</w:t>
      </w:r>
      <w:r w:rsidR="004A24C1">
        <w:rPr>
          <w:i/>
          <w:sz w:val="21"/>
        </w:rPr>
        <w:t xml:space="preserve"> transactions</w:t>
      </w:r>
      <w:r w:rsidR="006E0E0B" w:rsidRPr="008F04F4">
        <w:rPr>
          <w:i/>
          <w:sz w:val="21"/>
        </w:rPr>
        <w:t xml:space="preserve"> per year</w:t>
      </w:r>
    </w:p>
    <w:p w14:paraId="0005060C" w14:textId="77777777" w:rsidR="00F26B42" w:rsidRDefault="00F26B42" w:rsidP="00F26B42"/>
    <w:p w14:paraId="1126A14F" w14:textId="2ABE11E5" w:rsidR="00D75E12" w:rsidRDefault="00D75E12" w:rsidP="00F26B42">
      <w:r>
        <w:t>The differences between RIRs reported numbers are interesting. The policies relating to address transfers do not appear to have been adopted</w:t>
      </w:r>
      <w:r w:rsidR="00B125D8">
        <w:t xml:space="preserve"> to any significant extent by address hol</w:t>
      </w:r>
      <w:r w:rsidR="00AD5C12">
        <w:t>ders</w:t>
      </w:r>
      <w:r>
        <w:t xml:space="preserve"> in AFRINIC and LACNIC</w:t>
      </w:r>
      <w:r w:rsidR="00585811">
        <w:t xml:space="preserve"> serviced regions, while uptake in the</w:t>
      </w:r>
      <w:r w:rsidR="00ED7D37">
        <w:t xml:space="preserve"> RIPE NCC service region appears to be very enthusiastic!</w:t>
      </w:r>
    </w:p>
    <w:p w14:paraId="3315763C" w14:textId="77777777" w:rsidR="00D75E12" w:rsidRDefault="00D75E12" w:rsidP="00F26B42"/>
    <w:p w14:paraId="61AA8A08" w14:textId="120709F3" w:rsidR="008F04F4" w:rsidRDefault="00501913" w:rsidP="00F26B42">
      <w:r>
        <w:t>A slightly different view is that of the volume of addr</w:t>
      </w:r>
      <w:r w:rsidR="00AC2CD8">
        <w:t>esses transferred</w:t>
      </w:r>
      <w:r w:rsidR="00B54D8C">
        <w:t xml:space="preserve"> per year (Table 5</w:t>
      </w:r>
      <w:r w:rsidR="00812634">
        <w:t>)</w:t>
      </w:r>
      <w:r w:rsidR="00BD49E8">
        <w:t>.</w:t>
      </w:r>
    </w:p>
    <w:p w14:paraId="0691107A" w14:textId="77777777" w:rsidR="007C4AD7" w:rsidRDefault="007C4AD7" w:rsidP="00F26B42"/>
    <w:p w14:paraId="736C85A8" w14:textId="1BACDED0" w:rsidR="002E7031" w:rsidRDefault="005C56BF" w:rsidP="00790A0E">
      <w:pPr>
        <w:ind w:left="720"/>
      </w:pPr>
      <w:r w:rsidRPr="005C56BF">
        <w:rPr>
          <w:noProof/>
        </w:rPr>
        <w:drawing>
          <wp:inline distT="0" distB="0" distL="0" distR="0" wp14:anchorId="51EC96B8" wp14:editId="7496E349">
            <wp:extent cx="5645150" cy="1179199"/>
            <wp:effectExtent l="0" t="0" r="0" b="1905"/>
            <wp:docPr id="91121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19278" name=""/>
                    <pic:cNvPicPr/>
                  </pic:nvPicPr>
                  <pic:blipFill>
                    <a:blip r:embed="rId21"/>
                    <a:stretch>
                      <a:fillRect/>
                    </a:stretch>
                  </pic:blipFill>
                  <pic:spPr>
                    <a:xfrm>
                      <a:off x="0" y="0"/>
                      <a:ext cx="5689485" cy="1188460"/>
                    </a:xfrm>
                    <a:prstGeom prst="rect">
                      <a:avLst/>
                    </a:prstGeom>
                  </pic:spPr>
                </pic:pic>
              </a:graphicData>
            </a:graphic>
          </wp:inline>
        </w:drawing>
      </w:r>
    </w:p>
    <w:p w14:paraId="5A224968" w14:textId="77777777" w:rsidR="005D62E1" w:rsidRPr="005D62E1" w:rsidRDefault="005D62E1" w:rsidP="00790A0E">
      <w:pPr>
        <w:ind w:left="720"/>
        <w:rPr>
          <w:sz w:val="13"/>
          <w:szCs w:val="13"/>
        </w:rPr>
      </w:pPr>
    </w:p>
    <w:p w14:paraId="593CDE58" w14:textId="4125FE87" w:rsidR="00B54D8C" w:rsidRPr="00986DB8" w:rsidRDefault="00B54D8C" w:rsidP="00B54D8C">
      <w:pPr>
        <w:ind w:left="720"/>
        <w:rPr>
          <w:i/>
          <w:sz w:val="21"/>
        </w:rPr>
      </w:pPr>
      <w:r w:rsidRPr="00986DB8">
        <w:rPr>
          <w:i/>
          <w:sz w:val="21"/>
        </w:rPr>
        <w:t>Table 5 – Volume of Transferred IPv4 Addresses per year</w:t>
      </w:r>
      <w:r w:rsidR="00EF60C8">
        <w:rPr>
          <w:i/>
          <w:sz w:val="21"/>
        </w:rPr>
        <w:t xml:space="preserve"> (Millions of addresses)</w:t>
      </w:r>
    </w:p>
    <w:p w14:paraId="72C06057" w14:textId="77777777" w:rsidR="00B54D8C" w:rsidRDefault="00B54D8C" w:rsidP="00F26B42"/>
    <w:p w14:paraId="67246D84" w14:textId="1B011DE2" w:rsidR="00E114D3" w:rsidRDefault="00E114D3" w:rsidP="00812634">
      <w:r>
        <w:t>A plot of these n</w:t>
      </w:r>
      <w:r w:rsidR="009D4FF5">
        <w:t>umbers</w:t>
      </w:r>
      <w:r>
        <w:t xml:space="preserve"> is shown in Figures 3 and 4.</w:t>
      </w:r>
    </w:p>
    <w:p w14:paraId="77AB2079" w14:textId="3FDD7DCE" w:rsidR="001C1CF8" w:rsidRPr="003F7B04" w:rsidRDefault="00303846" w:rsidP="003F7B04">
      <w:pPr>
        <w:ind w:left="720"/>
      </w:pPr>
      <w:r>
        <w:rPr>
          <w:noProof/>
        </w:rPr>
        <w:drawing>
          <wp:inline distT="0" distB="0" distL="0" distR="0" wp14:anchorId="2F302B1E" wp14:editId="3CDF4657">
            <wp:extent cx="3835400" cy="2696965"/>
            <wp:effectExtent l="0" t="0" r="0" b="0"/>
            <wp:docPr id="68770517" name="Picture 7"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0517" name="Picture 7" descr="A graph of a number of bars&#10;&#10;Description automatically generated with medium confidence"/>
                    <pic:cNvPicPr/>
                  </pic:nvPicPr>
                  <pic:blipFill>
                    <a:blip r:embed="rId22"/>
                    <a:stretch>
                      <a:fillRect/>
                    </a:stretch>
                  </pic:blipFill>
                  <pic:spPr>
                    <a:xfrm>
                      <a:off x="0" y="0"/>
                      <a:ext cx="3873022" cy="2723420"/>
                    </a:xfrm>
                    <a:prstGeom prst="rect">
                      <a:avLst/>
                    </a:prstGeom>
                  </pic:spPr>
                </pic:pic>
              </a:graphicData>
            </a:graphic>
          </wp:inline>
        </w:drawing>
      </w:r>
    </w:p>
    <w:p w14:paraId="49CF3164" w14:textId="264A7E90" w:rsidR="001C1CF8" w:rsidRDefault="001C1CF8" w:rsidP="00986DB8">
      <w:pPr>
        <w:ind w:left="720"/>
      </w:pPr>
      <w:r w:rsidRPr="00986DB8">
        <w:rPr>
          <w:i/>
          <w:sz w:val="21"/>
          <w:szCs w:val="21"/>
        </w:rPr>
        <w:t>Figure 3 – Number of Transfers: 20</w:t>
      </w:r>
      <w:r>
        <w:rPr>
          <w:i/>
          <w:sz w:val="21"/>
          <w:szCs w:val="21"/>
        </w:rPr>
        <w:t>12 - 20</w:t>
      </w:r>
      <w:r w:rsidR="003F7B04">
        <w:rPr>
          <w:i/>
          <w:sz w:val="21"/>
          <w:szCs w:val="21"/>
        </w:rPr>
        <w:t>2</w:t>
      </w:r>
      <w:r w:rsidR="00303846">
        <w:rPr>
          <w:i/>
          <w:sz w:val="21"/>
          <w:szCs w:val="21"/>
        </w:rPr>
        <w:t>4</w:t>
      </w:r>
    </w:p>
    <w:p w14:paraId="00427850" w14:textId="4CC552FC" w:rsidR="001C1CF8" w:rsidRDefault="00303846" w:rsidP="001C1CF8">
      <w:pPr>
        <w:ind w:left="720"/>
        <w:rPr>
          <w:i/>
          <w:sz w:val="21"/>
          <w:szCs w:val="21"/>
        </w:rPr>
      </w:pPr>
      <w:r>
        <w:rPr>
          <w:i/>
          <w:noProof/>
          <w:sz w:val="21"/>
          <w:szCs w:val="21"/>
        </w:rPr>
        <w:lastRenderedPageBreak/>
        <w:drawing>
          <wp:inline distT="0" distB="0" distL="0" distR="0" wp14:anchorId="490D777F" wp14:editId="2F1DF670">
            <wp:extent cx="4019550" cy="2826455"/>
            <wp:effectExtent l="0" t="0" r="0" b="5715"/>
            <wp:docPr id="1856611711" name="Picture 8"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11711" name="Picture 8" descr="A graph of different colored bars&#10;&#10;Description automatically generated"/>
                    <pic:cNvPicPr/>
                  </pic:nvPicPr>
                  <pic:blipFill>
                    <a:blip r:embed="rId23"/>
                    <a:stretch>
                      <a:fillRect/>
                    </a:stretch>
                  </pic:blipFill>
                  <pic:spPr>
                    <a:xfrm>
                      <a:off x="0" y="0"/>
                      <a:ext cx="4041238" cy="2841705"/>
                    </a:xfrm>
                    <a:prstGeom prst="rect">
                      <a:avLst/>
                    </a:prstGeom>
                  </pic:spPr>
                </pic:pic>
              </a:graphicData>
            </a:graphic>
          </wp:inline>
        </w:drawing>
      </w:r>
    </w:p>
    <w:p w14:paraId="5FA66C6D" w14:textId="2A9BB6BB" w:rsidR="002D3E7D" w:rsidRPr="001C1CF8" w:rsidRDefault="002D3E7D" w:rsidP="001C1CF8">
      <w:pPr>
        <w:ind w:left="720"/>
      </w:pPr>
      <w:r w:rsidRPr="00986DB8">
        <w:rPr>
          <w:i/>
          <w:sz w:val="21"/>
          <w:szCs w:val="21"/>
        </w:rPr>
        <w:t>Figure 4 – Volume of Tr</w:t>
      </w:r>
      <w:r w:rsidR="00EE550F">
        <w:rPr>
          <w:i/>
          <w:sz w:val="21"/>
          <w:szCs w:val="21"/>
        </w:rPr>
        <w:t>ansferred Addresses: 2012 - 20</w:t>
      </w:r>
      <w:r w:rsidR="003F7B04">
        <w:rPr>
          <w:i/>
          <w:sz w:val="21"/>
          <w:szCs w:val="21"/>
        </w:rPr>
        <w:t>2</w:t>
      </w:r>
      <w:r w:rsidR="007E1B89">
        <w:rPr>
          <w:i/>
          <w:sz w:val="21"/>
          <w:szCs w:val="21"/>
        </w:rPr>
        <w:t>4</w:t>
      </w:r>
    </w:p>
    <w:p w14:paraId="14E4163C" w14:textId="77777777" w:rsidR="00E114D3" w:rsidRDefault="00E114D3" w:rsidP="00812634"/>
    <w:p w14:paraId="63B234EE" w14:textId="4CD3ED61" w:rsidR="009E32DB" w:rsidRDefault="009E32DB" w:rsidP="00812634">
      <w:r>
        <w:t>The volumes of transferred addresses reached a peak in 2022</w:t>
      </w:r>
      <w:r w:rsidR="000B53EC">
        <w:t xml:space="preserve"> </w:t>
      </w:r>
      <w:r>
        <w:t>and declined in 2023. In the case of APNIC the peak occurred in 202</w:t>
      </w:r>
      <w:r w:rsidR="00527706">
        <w:t>0</w:t>
      </w:r>
      <w:r>
        <w:t>, and the APNIC 202</w:t>
      </w:r>
      <w:r w:rsidR="00CB791B">
        <w:t>4</w:t>
      </w:r>
      <w:r>
        <w:t xml:space="preserve"> volume is comparable to the volume transferred in 201</w:t>
      </w:r>
      <w:r w:rsidR="00CB791B">
        <w:t>3</w:t>
      </w:r>
      <w:r>
        <w:t xml:space="preserve">. </w:t>
      </w:r>
      <w:r w:rsidR="00CB791B">
        <w:t>In the RIPE and ARIN regions address transfers are still growing in total volume, while in APINC the volume of IPv4 address transfers has largely waned</w:t>
      </w:r>
      <w:r>
        <w:t>.</w:t>
      </w:r>
    </w:p>
    <w:p w14:paraId="55E0BE24" w14:textId="77777777" w:rsidR="009E32DB" w:rsidRDefault="009E32DB" w:rsidP="00812634"/>
    <w:p w14:paraId="1FA1FCBC" w14:textId="288DCE35" w:rsidR="009E32DB" w:rsidRDefault="00AE1A0F" w:rsidP="00812634">
      <w:r>
        <w:t xml:space="preserve">The aggregate total of addresses </w:t>
      </w:r>
      <w:r w:rsidR="001C5363">
        <w:t xml:space="preserve">that have been listed </w:t>
      </w:r>
      <w:r w:rsidR="00EE550F">
        <w:t>in the</w:t>
      </w:r>
      <w:r w:rsidR="001C5363">
        <w:t>se</w:t>
      </w:r>
      <w:r w:rsidR="00EE550F">
        <w:t xml:space="preserve"> transfer logs</w:t>
      </w:r>
      <w:r w:rsidR="008F51CA">
        <w:t xml:space="preserve"> since 2012 </w:t>
      </w:r>
      <w:r w:rsidR="00EE550F">
        <w:t xml:space="preserve">is some </w:t>
      </w:r>
      <w:r w:rsidR="00CB791B">
        <w:t xml:space="preserve">309 </w:t>
      </w:r>
      <w:r>
        <w:t>million ad</w:t>
      </w:r>
      <w:r w:rsidR="00EE550F">
        <w:t xml:space="preserve">dresses, or the equivalent of </w:t>
      </w:r>
      <w:r w:rsidR="006A507F">
        <w:t>1</w:t>
      </w:r>
      <w:r w:rsidR="00CB791B">
        <w:t>8.4</w:t>
      </w:r>
      <w:r>
        <w:t xml:space="preserve"> /8s</w:t>
      </w:r>
      <w:r w:rsidR="003115B5">
        <w:t xml:space="preserve">, which is some </w:t>
      </w:r>
      <w:r w:rsidR="00CB791B">
        <w:t>8</w:t>
      </w:r>
      <w:r w:rsidR="003115B5">
        <w:t>% of the total delegated IPv4 address space</w:t>
      </w:r>
      <w:r w:rsidR="004E0D7A">
        <w:t xml:space="preserve"> of 3.7 billion addresse</w:t>
      </w:r>
      <w:r w:rsidR="00CE348C">
        <w:t>s.</w:t>
      </w:r>
      <w:r w:rsidR="00B738ED">
        <w:t xml:space="preserve"> However, that figure is likely to be an overestimation</w:t>
      </w:r>
      <w:r w:rsidR="006A507F">
        <w:t>,</w:t>
      </w:r>
      <w:r w:rsidR="00B738ED">
        <w:t xml:space="preserve"> as a number of address</w:t>
      </w:r>
      <w:r w:rsidR="006A507F">
        <w:t xml:space="preserve"> blocks</w:t>
      </w:r>
      <w:r w:rsidR="00B738ED">
        <w:t xml:space="preserve"> have been transferred multiple times over this period. </w:t>
      </w:r>
    </w:p>
    <w:p w14:paraId="7B62AE8D" w14:textId="3195E8B4" w:rsidR="00E42CD0" w:rsidRDefault="00E42CD0" w:rsidP="00E42CD0">
      <w:pPr>
        <w:pStyle w:val="Heading4"/>
      </w:pPr>
      <w:r>
        <w:t>Are Transfers Performing Unused Address Recovery?</w:t>
      </w:r>
    </w:p>
    <w:p w14:paraId="3CE47541" w14:textId="40515496" w:rsidR="008F51CA" w:rsidRDefault="00FA757A" w:rsidP="00E03209">
      <w:r>
        <w:t>This data raises some</w:t>
      </w:r>
      <w:r w:rsidR="008A106D">
        <w:t xml:space="preserve"> questions about the nature of transfers. The first </w:t>
      </w:r>
      <w:r w:rsidR="006F27FC">
        <w:t xml:space="preserve">question is whether address transfers have </w:t>
      </w:r>
      <w:r w:rsidR="008A106D">
        <w:t xml:space="preserve">managed to be effective in </w:t>
      </w:r>
      <w:r w:rsidR="006F27FC">
        <w:t xml:space="preserve">dredging the pool of </w:t>
      </w:r>
      <w:r w:rsidR="00EE550F">
        <w:t xml:space="preserve">allocated but </w:t>
      </w:r>
      <w:r w:rsidR="006F27FC">
        <w:t>unadvertised public IPv4 addresses</w:t>
      </w:r>
      <w:r w:rsidR="00E42CD0">
        <w:t xml:space="preserve"> and recycling these addresses back into active use</w:t>
      </w:r>
      <w:r w:rsidR="006F27FC">
        <w:t xml:space="preserve">. </w:t>
      </w:r>
    </w:p>
    <w:p w14:paraId="0FFCBD25" w14:textId="77777777" w:rsidR="008F51CA" w:rsidRDefault="008F51CA" w:rsidP="00E03209"/>
    <w:p w14:paraId="62C0DE0B" w14:textId="2644A8D4" w:rsidR="008F51CA" w:rsidRDefault="006F27FC" w:rsidP="00E03209">
      <w:r>
        <w:t>It was thought that by being able to monetize these addresses, holders of such addresses may have been motivated to convert their networks to use private addresses and resell their holding of public addresses.</w:t>
      </w:r>
      <w:r w:rsidR="008F51CA">
        <w:t xml:space="preserve"> In other words, the opening of a market in addresses would provide incentive for otherwise unproductive address assets to be placed on the market. Providers who had a need for addresses would compete with other providers who had a similar need in bidding to purchase these addresses. In conventional market theory the most efficient user of addresses (here “most efficient” is based on the ability to use addresses to generate the greatest revenue) would be able to set the market price. Otherwise unused addresses would be put to productive use, and as long as demand outstrips supply the most efficient use of addresses is promoted by the actions of the market. In theory.</w:t>
      </w:r>
    </w:p>
    <w:p w14:paraId="29A745FD" w14:textId="77777777" w:rsidR="008F51CA" w:rsidRDefault="008F51CA" w:rsidP="00E03209"/>
    <w:p w14:paraId="18D15910" w14:textId="34C0F3FE" w:rsidR="00A425A7" w:rsidRDefault="008F51CA" w:rsidP="00E03209">
      <w:r>
        <w:t xml:space="preserve">However, the practical experience </w:t>
      </w:r>
      <w:r w:rsidR="004E0D7A">
        <w:t>with transfer</w:t>
      </w:r>
      <w:r w:rsidR="00986A48">
        <w:t>s</w:t>
      </w:r>
      <w:r w:rsidR="004E0D7A">
        <w:t xml:space="preserve"> </w:t>
      </w:r>
      <w:r>
        <w:t xml:space="preserve">is not so clear. </w:t>
      </w:r>
      <w:r w:rsidR="006F27FC">
        <w:t xml:space="preserve">The </w:t>
      </w:r>
      <w:r w:rsidR="00A425A7">
        <w:t xml:space="preserve">data </w:t>
      </w:r>
      <w:r>
        <w:t>relating to address re-</w:t>
      </w:r>
      <w:r w:rsidR="00986A48">
        <w:t>cycling</w:t>
      </w:r>
      <w:r>
        <w:t xml:space="preserve"> </w:t>
      </w:r>
      <w:r w:rsidR="00A425A7">
        <w:t xml:space="preserve">is inconclusive, in that between 2011 and late 2017 the pool of unadvertised addresses sat between some </w:t>
      </w:r>
      <w:r w:rsidR="00390D05">
        <w:t>4</w:t>
      </w:r>
      <w:r w:rsidR="00603EEF">
        <w:t>8</w:t>
      </w:r>
      <w:r w:rsidR="00A425A7">
        <w:t xml:space="preserve"> and </w:t>
      </w:r>
      <w:r w:rsidR="00390D05">
        <w:t>5</w:t>
      </w:r>
      <w:r w:rsidR="00603EEF">
        <w:t>0</w:t>
      </w:r>
      <w:r w:rsidR="00A425A7">
        <w:t xml:space="preserve"> /8s. This pool of </w:t>
      </w:r>
      <w:r w:rsidR="00CE348C">
        <w:t xml:space="preserve">unadvertised </w:t>
      </w:r>
      <w:r w:rsidR="00A425A7">
        <w:t xml:space="preserve">addresses rose </w:t>
      </w:r>
      <w:r w:rsidR="00CE348C">
        <w:t>from the start of 2018</w:t>
      </w:r>
      <w:r w:rsidR="00A425A7">
        <w:t xml:space="preserve"> and by </w:t>
      </w:r>
      <w:r w:rsidR="00603EEF">
        <w:t>early</w:t>
      </w:r>
      <w:r w:rsidR="00A425A7">
        <w:t xml:space="preserve"> 20</w:t>
      </w:r>
      <w:r w:rsidR="00986A48">
        <w:t>20</w:t>
      </w:r>
      <w:r w:rsidR="00A425A7">
        <w:t xml:space="preserve"> </w:t>
      </w:r>
      <w:r w:rsidR="00CE348C">
        <w:t xml:space="preserve">there were </w:t>
      </w:r>
      <w:r w:rsidR="00986A48">
        <w:t>just under</w:t>
      </w:r>
      <w:r w:rsidR="00CE348C">
        <w:t xml:space="preserve"> 5</w:t>
      </w:r>
      <w:r w:rsidR="00390D05">
        <w:t>1</w:t>
      </w:r>
      <w:r w:rsidR="00CE348C">
        <w:t xml:space="preserve"> /8s that were unadvertised </w:t>
      </w:r>
      <w:r w:rsidR="00986A48">
        <w:t>in</w:t>
      </w:r>
      <w:r w:rsidR="00CE348C">
        <w:t xml:space="preserve"> the public Internet</w:t>
      </w:r>
      <w:r w:rsidR="00A425A7">
        <w:t>.</w:t>
      </w:r>
      <w:r w:rsidR="00250F5C">
        <w:t xml:space="preserve"> </w:t>
      </w:r>
      <w:r w:rsidR="002612EE">
        <w:t xml:space="preserve">This 2-year period of increase in the unadvertised address pool appeared to be a period where IPv4 addresses were being hoarded, though such a conclusion from just this </w:t>
      </w:r>
      <w:r w:rsidR="00E94CDC">
        <w:t>high-level</w:t>
      </w:r>
      <w:r w:rsidR="002612EE">
        <w:t xml:space="preserve"> aggregate date is highly speculative.</w:t>
      </w:r>
    </w:p>
    <w:p w14:paraId="6C566E8D" w14:textId="1A60A4B5" w:rsidR="00A425A7" w:rsidRDefault="00A425A7" w:rsidP="00E03209"/>
    <w:p w14:paraId="4E72017B" w14:textId="2BDF4B80" w:rsidR="00B738ED" w:rsidRDefault="00B738ED" w:rsidP="00B738ED">
      <w:r>
        <w:t xml:space="preserve">There </w:t>
      </w:r>
      <w:r w:rsidR="00390D05">
        <w:t>was a</w:t>
      </w:r>
      <w:r>
        <w:t xml:space="preserve"> substantial reduction in the size of this unadvertised address pool </w:t>
      </w:r>
      <w:r w:rsidR="004325D4">
        <w:t>at the start of</w:t>
      </w:r>
      <w:r>
        <w:t xml:space="preserve"> 2021. The major change in 2021 was the announcement in the Internet’s routing system of some seven /8s from the address space originally allocated to the US Department of Defence in the early days of the then ARPANET. </w:t>
      </w:r>
      <w:r w:rsidRPr="00CB1238">
        <w:t>At the end of 2021 AS749 originate</w:t>
      </w:r>
      <w:r w:rsidR="004325D4">
        <w:t>d</w:t>
      </w:r>
      <w:r w:rsidRPr="00CB1238">
        <w:t xml:space="preserve"> more IPv4 addresses than any other network, </w:t>
      </w:r>
      <w:r>
        <w:t xml:space="preserve">namely </w:t>
      </w:r>
      <w:r w:rsidRPr="00CB1238">
        <w:lastRenderedPageBreak/>
        <w:t>some 211,581,184 addresses, or the equivalent of a /4.34 in prefix length notation, or some 5% of the total IPv4 address pool.</w:t>
      </w:r>
      <w:r w:rsidR="00390D05">
        <w:t xml:space="preserve"> </w:t>
      </w:r>
      <w:r>
        <w:t>Across 2022</w:t>
      </w:r>
      <w:r w:rsidR="004325D4">
        <w:t xml:space="preserve"> and 2023</w:t>
      </w:r>
      <w:r>
        <w:t xml:space="preserve"> the previous trend of an increasing pool of unadvertised addresses resumed</w:t>
      </w:r>
      <w:r w:rsidR="00A56BB5">
        <w:t>.</w:t>
      </w:r>
      <w:r w:rsidR="00390D05">
        <w:t xml:space="preserve"> On December 12</w:t>
      </w:r>
      <w:proofErr w:type="gramStart"/>
      <w:r w:rsidR="00390D05">
        <w:t xml:space="preserve"> 2024</w:t>
      </w:r>
      <w:proofErr w:type="gramEnd"/>
      <w:r w:rsidR="00390D05">
        <w:t xml:space="preserve"> a total of some</w:t>
      </w:r>
      <w:r w:rsidR="00390D05" w:rsidRPr="00390D05">
        <w:t xml:space="preserve"> 81,224,704 addresses (the equivalent of 4.8 /8s) </w:t>
      </w:r>
      <w:r w:rsidR="00390D05">
        <w:t xml:space="preserve">was advertised </w:t>
      </w:r>
      <w:r w:rsidR="00390D05" w:rsidRPr="00390D05">
        <w:t xml:space="preserve">by </w:t>
      </w:r>
      <w:proofErr w:type="spellStart"/>
      <w:r w:rsidR="00390D05" w:rsidRPr="00390D05">
        <w:t>ASes</w:t>
      </w:r>
      <w:proofErr w:type="spellEnd"/>
      <w:r w:rsidR="00390D05" w:rsidRPr="00390D05">
        <w:t xml:space="preserve"> operated by Amazon</w:t>
      </w:r>
      <w:r w:rsidR="00390D05">
        <w:t>, mainly AS16509, bringing the total pool of unadvertised addresses down to a level last observed in the year 2000.</w:t>
      </w:r>
    </w:p>
    <w:p w14:paraId="089B7206" w14:textId="77777777" w:rsidR="00B738ED" w:rsidRDefault="00B738ED" w:rsidP="00E03209"/>
    <w:p w14:paraId="4CB20E11" w14:textId="72DE8618" w:rsidR="00B238B5" w:rsidRDefault="00174AA5" w:rsidP="005F2A19">
      <w:pPr>
        <w:ind w:left="720"/>
        <w:rPr>
          <w:i/>
          <w:sz w:val="21"/>
        </w:rPr>
      </w:pPr>
      <w:r>
        <w:rPr>
          <w:i/>
          <w:noProof/>
          <w:sz w:val="21"/>
        </w:rPr>
        <w:drawing>
          <wp:inline distT="0" distB="0" distL="0" distR="0" wp14:anchorId="5DCB35FC" wp14:editId="555993E1">
            <wp:extent cx="4705350" cy="3122082"/>
            <wp:effectExtent l="0" t="0" r="0" b="2540"/>
            <wp:docPr id="13269364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36419" name="Picture 1326936419"/>
                    <pic:cNvPicPr/>
                  </pic:nvPicPr>
                  <pic:blipFill>
                    <a:blip r:embed="rId24"/>
                    <a:stretch>
                      <a:fillRect/>
                    </a:stretch>
                  </pic:blipFill>
                  <pic:spPr>
                    <a:xfrm>
                      <a:off x="0" y="0"/>
                      <a:ext cx="4727759" cy="3136951"/>
                    </a:xfrm>
                    <a:prstGeom prst="rect">
                      <a:avLst/>
                    </a:prstGeom>
                  </pic:spPr>
                </pic:pic>
              </a:graphicData>
            </a:graphic>
          </wp:inline>
        </w:drawing>
      </w:r>
    </w:p>
    <w:p w14:paraId="2E39C13F" w14:textId="3C9574E3" w:rsidR="00986A48" w:rsidRPr="005F2A19" w:rsidRDefault="00461BEE" w:rsidP="005F2A19">
      <w:pPr>
        <w:ind w:left="720"/>
      </w:pPr>
      <w:r w:rsidRPr="00986DB8">
        <w:rPr>
          <w:i/>
          <w:sz w:val="21"/>
        </w:rPr>
        <w:t>Figure 5</w:t>
      </w:r>
      <w:r w:rsidR="00FA757A" w:rsidRPr="00986DB8">
        <w:rPr>
          <w:i/>
          <w:sz w:val="21"/>
        </w:rPr>
        <w:t xml:space="preserve"> – IPv4 Unadvertised Address Po</w:t>
      </w:r>
      <w:r w:rsidR="004F6A0C">
        <w:rPr>
          <w:i/>
          <w:sz w:val="21"/>
        </w:rPr>
        <w:t>ol S</w:t>
      </w:r>
      <w:r w:rsidR="00986DB8" w:rsidRPr="00986DB8">
        <w:rPr>
          <w:i/>
          <w:sz w:val="21"/>
        </w:rPr>
        <w:t>ize</w:t>
      </w:r>
      <w:r w:rsidRPr="00986DB8">
        <w:rPr>
          <w:i/>
          <w:sz w:val="21"/>
        </w:rPr>
        <w:t xml:space="preserve">    </w:t>
      </w:r>
      <w:r w:rsidR="00986DB8" w:rsidRPr="00986DB8">
        <w:rPr>
          <w:i/>
          <w:sz w:val="21"/>
        </w:rPr>
        <w:t xml:space="preserve">      </w:t>
      </w:r>
    </w:p>
    <w:p w14:paraId="2F359AB1" w14:textId="17050CE6" w:rsidR="00986A48" w:rsidRDefault="00986A48" w:rsidP="0078200B"/>
    <w:p w14:paraId="37CC8BD4" w14:textId="69F62F98" w:rsidR="0078200B" w:rsidRDefault="0078200B" w:rsidP="0078200B">
      <w:r>
        <w:t xml:space="preserve">The larger picture of the three </w:t>
      </w:r>
      <w:r w:rsidR="003B3C9D">
        <w:t xml:space="preserve">IPv4 </w:t>
      </w:r>
      <w:r>
        <w:t xml:space="preserve">address pool sizes, </w:t>
      </w:r>
      <w:r>
        <w:rPr>
          <w:i/>
          <w:iCs/>
        </w:rPr>
        <w:t>allocated</w:t>
      </w:r>
      <w:r w:rsidR="003B3C9D">
        <w:rPr>
          <w:i/>
          <w:iCs/>
        </w:rPr>
        <w:t xml:space="preserve">, advertised </w:t>
      </w:r>
      <w:r w:rsidR="003B3C9D">
        <w:t xml:space="preserve">and </w:t>
      </w:r>
      <w:r w:rsidR="003B3C9D">
        <w:rPr>
          <w:i/>
          <w:iCs/>
        </w:rPr>
        <w:t xml:space="preserve">unadvertised </w:t>
      </w:r>
      <w:r w:rsidR="00230E8E" w:rsidRPr="00230E8E">
        <w:t>address pools</w:t>
      </w:r>
      <w:r w:rsidR="003B3C9D">
        <w:t xml:space="preserve"> since the start of 2000 is shown in Figure 6.</w:t>
      </w:r>
      <w:r w:rsidR="00BE26FF">
        <w:t xml:space="preserve"> The onset of more restrictive address policies coincides with the exhaustion of the central IANA unallocated address pool in early 2011, and the period since that date has seen the RIRs run down their address pools. </w:t>
      </w:r>
    </w:p>
    <w:p w14:paraId="4C90F4D7" w14:textId="77777777" w:rsidR="00BE26FF" w:rsidRPr="003B3C9D" w:rsidRDefault="00BE26FF" w:rsidP="0078200B"/>
    <w:p w14:paraId="4D3FF879" w14:textId="279C34D1" w:rsidR="00C01058" w:rsidRDefault="00174AA5" w:rsidP="0078200B">
      <w:pPr>
        <w:ind w:left="720"/>
      </w:pPr>
      <w:r>
        <w:rPr>
          <w:noProof/>
        </w:rPr>
        <w:drawing>
          <wp:inline distT="0" distB="0" distL="0" distR="0" wp14:anchorId="2EA3002E" wp14:editId="763A15E7">
            <wp:extent cx="4786061" cy="3175635"/>
            <wp:effectExtent l="0" t="0" r="1905" b="0"/>
            <wp:docPr id="1367773853" name="Picture 19" descr="A graph showing the number of ipv4 ad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3853" name="Picture 19" descr="A graph showing the number of ipv4 addresses&#10;&#10;Description automatically generated"/>
                    <pic:cNvPicPr/>
                  </pic:nvPicPr>
                  <pic:blipFill>
                    <a:blip r:embed="rId25"/>
                    <a:stretch>
                      <a:fillRect/>
                    </a:stretch>
                  </pic:blipFill>
                  <pic:spPr>
                    <a:xfrm>
                      <a:off x="0" y="0"/>
                      <a:ext cx="4809447" cy="3191152"/>
                    </a:xfrm>
                    <a:prstGeom prst="rect">
                      <a:avLst/>
                    </a:prstGeom>
                  </pic:spPr>
                </pic:pic>
              </a:graphicData>
            </a:graphic>
          </wp:inline>
        </w:drawing>
      </w:r>
    </w:p>
    <w:p w14:paraId="7F739B5B" w14:textId="4873AC20" w:rsidR="0078200B" w:rsidRDefault="0078200B" w:rsidP="0078200B">
      <w:pPr>
        <w:ind w:left="720"/>
        <w:rPr>
          <w:i/>
          <w:sz w:val="21"/>
        </w:rPr>
      </w:pPr>
      <w:r w:rsidRPr="00986DB8">
        <w:rPr>
          <w:i/>
          <w:sz w:val="21"/>
        </w:rPr>
        <w:t xml:space="preserve">Figure </w:t>
      </w:r>
      <w:r>
        <w:rPr>
          <w:i/>
          <w:sz w:val="21"/>
        </w:rPr>
        <w:t>6</w:t>
      </w:r>
      <w:r w:rsidRPr="00986DB8">
        <w:rPr>
          <w:i/>
          <w:sz w:val="21"/>
        </w:rPr>
        <w:t xml:space="preserve"> – IPv4 Address Po</w:t>
      </w:r>
      <w:r>
        <w:rPr>
          <w:i/>
          <w:sz w:val="21"/>
        </w:rPr>
        <w:t>ol</w:t>
      </w:r>
      <w:r w:rsidR="005D62E1">
        <w:rPr>
          <w:i/>
          <w:sz w:val="21"/>
        </w:rPr>
        <w:t>s</w:t>
      </w:r>
      <w:r>
        <w:rPr>
          <w:i/>
          <w:sz w:val="21"/>
        </w:rPr>
        <w:t xml:space="preserve"> 2000 - 202</w:t>
      </w:r>
      <w:r w:rsidR="00941D6E">
        <w:rPr>
          <w:i/>
          <w:sz w:val="21"/>
        </w:rPr>
        <w:t>4</w:t>
      </w:r>
    </w:p>
    <w:p w14:paraId="63C49551" w14:textId="23A10F71" w:rsidR="003B04F0" w:rsidRDefault="003B04F0" w:rsidP="00CB1238"/>
    <w:p w14:paraId="74DA3897" w14:textId="02B3E86F" w:rsidR="00BE26FF" w:rsidRDefault="00F90554" w:rsidP="005E7AB9">
      <w:r>
        <w:t>We can also look at 202</w:t>
      </w:r>
      <w:r w:rsidR="000C7BEE">
        <w:t>4</w:t>
      </w:r>
      <w:r>
        <w:t xml:space="preserve">, looking at the changes in these address pools since the start of the year, as shown in Figure </w:t>
      </w:r>
      <w:r w:rsidR="000C7BEE">
        <w:t>7</w:t>
      </w:r>
      <w:r>
        <w:t xml:space="preserve">. The total span of advertised addresses </w:t>
      </w:r>
      <w:r w:rsidR="00467670">
        <w:t>was falling by s</w:t>
      </w:r>
      <w:r>
        <w:t xml:space="preserve">ome </w:t>
      </w:r>
      <w:r w:rsidR="005E7AB9">
        <w:t>2</w:t>
      </w:r>
      <w:r w:rsidR="00467670">
        <w:t>0</w:t>
      </w:r>
      <w:r w:rsidR="005E7AB9">
        <w:t>M</w:t>
      </w:r>
      <w:r>
        <w:t xml:space="preserve"> addresses through</w:t>
      </w:r>
      <w:r w:rsidR="00467670">
        <w:t xml:space="preserve"> to December 12, </w:t>
      </w:r>
      <w:r w:rsidR="000B72BB">
        <w:t>at which time</w:t>
      </w:r>
      <w:r w:rsidR="00467670">
        <w:t xml:space="preserve"> the Amazon address range announcements changed the situation. </w:t>
      </w:r>
    </w:p>
    <w:p w14:paraId="55AF8AC5" w14:textId="7E2D6672" w:rsidR="00253222" w:rsidRDefault="0037346D" w:rsidP="00253222">
      <w:pPr>
        <w:ind w:left="720"/>
      </w:pPr>
      <w:r>
        <w:rPr>
          <w:noProof/>
        </w:rPr>
        <w:lastRenderedPageBreak/>
        <w:drawing>
          <wp:inline distT="0" distB="0" distL="0" distR="0" wp14:anchorId="2EC02CC2" wp14:editId="55462740">
            <wp:extent cx="4762500" cy="3348879"/>
            <wp:effectExtent l="0" t="0" r="0" b="4445"/>
            <wp:docPr id="174893021" name="Picture 20" descr="A graph showing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3021" name="Picture 20" descr="A graph showing a pool&#10;&#10;Description automatically generated"/>
                    <pic:cNvPicPr/>
                  </pic:nvPicPr>
                  <pic:blipFill>
                    <a:blip r:embed="rId26"/>
                    <a:stretch>
                      <a:fillRect/>
                    </a:stretch>
                  </pic:blipFill>
                  <pic:spPr>
                    <a:xfrm>
                      <a:off x="0" y="0"/>
                      <a:ext cx="4781622" cy="3362325"/>
                    </a:xfrm>
                    <a:prstGeom prst="rect">
                      <a:avLst/>
                    </a:prstGeom>
                  </pic:spPr>
                </pic:pic>
              </a:graphicData>
            </a:graphic>
          </wp:inline>
        </w:drawing>
      </w:r>
    </w:p>
    <w:p w14:paraId="720380EA" w14:textId="58E0B942" w:rsidR="00C01058" w:rsidRDefault="00C01058" w:rsidP="00C01058">
      <w:pPr>
        <w:ind w:left="720"/>
        <w:rPr>
          <w:i/>
          <w:sz w:val="21"/>
        </w:rPr>
      </w:pPr>
      <w:r w:rsidRPr="00986DB8">
        <w:rPr>
          <w:i/>
          <w:sz w:val="21"/>
        </w:rPr>
        <w:t xml:space="preserve">Figure </w:t>
      </w:r>
      <w:r w:rsidR="00467670">
        <w:rPr>
          <w:i/>
          <w:sz w:val="21"/>
        </w:rPr>
        <w:t>7</w:t>
      </w:r>
      <w:r w:rsidRPr="00986DB8">
        <w:rPr>
          <w:i/>
          <w:sz w:val="21"/>
        </w:rPr>
        <w:t xml:space="preserve"> – IPv4 Address Po</w:t>
      </w:r>
      <w:r>
        <w:rPr>
          <w:i/>
          <w:sz w:val="21"/>
        </w:rPr>
        <w:t xml:space="preserve">ol </w:t>
      </w:r>
      <w:r w:rsidR="005616EB">
        <w:rPr>
          <w:i/>
          <w:sz w:val="21"/>
        </w:rPr>
        <w:t>changes</w:t>
      </w:r>
      <w:r>
        <w:rPr>
          <w:i/>
          <w:sz w:val="21"/>
        </w:rPr>
        <w:t xml:space="preserve"> through 202</w:t>
      </w:r>
      <w:r w:rsidR="00467670">
        <w:rPr>
          <w:i/>
          <w:sz w:val="21"/>
        </w:rPr>
        <w:t>4</w:t>
      </w:r>
    </w:p>
    <w:p w14:paraId="6130EF77" w14:textId="77777777" w:rsidR="00CB1238" w:rsidRDefault="00CB1238" w:rsidP="00CB1238"/>
    <w:p w14:paraId="739B396B" w14:textId="4DA305ED" w:rsidR="00B07175" w:rsidRDefault="00986A48" w:rsidP="00986A48">
      <w:r>
        <w:t xml:space="preserve">In relative terms, expressed as a proportion of the total pool of allocated IP addresses, the unadvertised address pool </w:t>
      </w:r>
      <w:r w:rsidR="00BB3EF6">
        <w:t xml:space="preserve">peaked at 38% of the total assigned address pool in early 2003, and then declined over the ensuing 15 years to a </w:t>
      </w:r>
      <w:r w:rsidR="0037346D">
        <w:t>relatively</w:t>
      </w:r>
      <w:r w:rsidR="00BB3EF6">
        <w:t xml:space="preserve"> low </w:t>
      </w:r>
      <w:r w:rsidR="0037346D">
        <w:t xml:space="preserve">value </w:t>
      </w:r>
      <w:r w:rsidR="00BB3EF6">
        <w:t xml:space="preserve">of 22% at the start of 2018. The ratio has been steadily climbing since that date, with abrupt falls due to the </w:t>
      </w:r>
      <w:r w:rsidR="004650FC">
        <w:t>advertisement of the legacy US D</w:t>
      </w:r>
      <w:r w:rsidR="00F90554">
        <w:t xml:space="preserve">epartment </w:t>
      </w:r>
      <w:r w:rsidR="004650FC">
        <w:t>o</w:t>
      </w:r>
      <w:r w:rsidR="00F90554">
        <w:t xml:space="preserve">f </w:t>
      </w:r>
      <w:r w:rsidR="004650FC">
        <w:t>D</w:t>
      </w:r>
      <w:r w:rsidR="00F90554">
        <w:t>efence</w:t>
      </w:r>
      <w:r w:rsidR="004650FC">
        <w:t xml:space="preserve"> address space</w:t>
      </w:r>
      <w:r w:rsidR="00BB3EF6">
        <w:t xml:space="preserve"> in 2021, and the Amazon address announcements in December 2024 (Figure </w:t>
      </w:r>
      <w:r w:rsidR="000B72BB">
        <w:t>8</w:t>
      </w:r>
      <w:r w:rsidR="00BB3EF6">
        <w:t>)</w:t>
      </w:r>
      <w:r w:rsidR="003B04F0">
        <w:t>.</w:t>
      </w:r>
    </w:p>
    <w:p w14:paraId="340A6898" w14:textId="77777777" w:rsidR="00F90554" w:rsidRPr="00986A48" w:rsidRDefault="00F90554" w:rsidP="00986A48"/>
    <w:p w14:paraId="5F13FCA9" w14:textId="0E0564FD" w:rsidR="008F51CA" w:rsidRDefault="00BB3EF6" w:rsidP="00986DB8">
      <w:pPr>
        <w:ind w:left="720"/>
        <w:rPr>
          <w:i/>
          <w:sz w:val="21"/>
        </w:rPr>
      </w:pPr>
      <w:r>
        <w:rPr>
          <w:i/>
          <w:noProof/>
          <w:sz w:val="21"/>
        </w:rPr>
        <w:drawing>
          <wp:inline distT="0" distB="0" distL="0" distR="0" wp14:anchorId="00000911" wp14:editId="3F617D55">
            <wp:extent cx="4686300" cy="3012621"/>
            <wp:effectExtent l="0" t="0" r="0" b="0"/>
            <wp:docPr id="17191169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6948" name="Picture 1719116948"/>
                    <pic:cNvPicPr/>
                  </pic:nvPicPr>
                  <pic:blipFill>
                    <a:blip r:embed="rId27"/>
                    <a:stretch>
                      <a:fillRect/>
                    </a:stretch>
                  </pic:blipFill>
                  <pic:spPr>
                    <a:xfrm>
                      <a:off x="0" y="0"/>
                      <a:ext cx="4699717" cy="3021247"/>
                    </a:xfrm>
                    <a:prstGeom prst="rect">
                      <a:avLst/>
                    </a:prstGeom>
                  </pic:spPr>
                </pic:pic>
              </a:graphicData>
            </a:graphic>
          </wp:inline>
        </w:drawing>
      </w:r>
    </w:p>
    <w:p w14:paraId="5C6BD5C2" w14:textId="00AE7839" w:rsidR="00FA757A" w:rsidRPr="00986DB8" w:rsidRDefault="00461BEE" w:rsidP="00986DB8">
      <w:pPr>
        <w:ind w:left="720"/>
        <w:rPr>
          <w:i/>
          <w:sz w:val="21"/>
        </w:rPr>
      </w:pPr>
      <w:r w:rsidRPr="00986DB8">
        <w:rPr>
          <w:i/>
          <w:sz w:val="21"/>
        </w:rPr>
        <w:t xml:space="preserve">Figure </w:t>
      </w:r>
      <w:r w:rsidR="00664103">
        <w:rPr>
          <w:i/>
          <w:sz w:val="21"/>
        </w:rPr>
        <w:t>8</w:t>
      </w:r>
      <w:r w:rsidR="002D3E7D" w:rsidRPr="00986DB8">
        <w:rPr>
          <w:i/>
          <w:sz w:val="21"/>
        </w:rPr>
        <w:t xml:space="preserve"> – Ratio</w:t>
      </w:r>
      <w:r w:rsidR="00FA757A" w:rsidRPr="00986DB8">
        <w:rPr>
          <w:i/>
          <w:sz w:val="21"/>
        </w:rPr>
        <w:t xml:space="preserve"> of Unadvertised Pool </w:t>
      </w:r>
      <w:r w:rsidR="00E94CDC">
        <w:rPr>
          <w:i/>
          <w:sz w:val="21"/>
        </w:rPr>
        <w:t xml:space="preserve">Size </w:t>
      </w:r>
      <w:r w:rsidR="00FA757A" w:rsidRPr="00986DB8">
        <w:rPr>
          <w:i/>
          <w:sz w:val="21"/>
        </w:rPr>
        <w:t>to Total Pool</w:t>
      </w:r>
      <w:r w:rsidR="00E94CDC">
        <w:rPr>
          <w:i/>
          <w:sz w:val="21"/>
        </w:rPr>
        <w:t xml:space="preserve"> Size</w:t>
      </w:r>
    </w:p>
    <w:p w14:paraId="38B1F157" w14:textId="68FC86B3" w:rsidR="00B54D8C" w:rsidRDefault="00B54D8C" w:rsidP="00812634"/>
    <w:p w14:paraId="761AB4AF" w14:textId="43FB5509" w:rsidR="000F067E" w:rsidRDefault="0014644E" w:rsidP="00D615D7">
      <w:r>
        <w:t>Th</w:t>
      </w:r>
      <w:r w:rsidR="000B72BB">
        <w:t>e transfer data points to</w:t>
      </w:r>
      <w:r w:rsidR="00F90554">
        <w:t xml:space="preserve"> a </w:t>
      </w:r>
      <w:r>
        <w:t>somewhat sluggish transfer market</w:t>
      </w:r>
      <w:r w:rsidR="00E94CDC">
        <w:t xml:space="preserve">. The number of transfer transactions is rising, but the total volume of transferred addresses is </w:t>
      </w:r>
      <w:r w:rsidR="000F067E">
        <w:t>falling for most RIRs, with the exception of the RIPE NCC (Tables 4 and 5)</w:t>
      </w:r>
      <w:r w:rsidR="00E94CDC">
        <w:t xml:space="preserve">. The address market </w:t>
      </w:r>
      <w:r w:rsidR="000F067E">
        <w:t>does not appear to have</w:t>
      </w:r>
      <w:r w:rsidR="00E94CDC">
        <w:t xml:space="preserve"> been </w:t>
      </w:r>
      <w:r w:rsidR="00BB3EF6">
        <w:t xml:space="preserve">all that </w:t>
      </w:r>
      <w:r w:rsidR="00E94CDC">
        <w:t xml:space="preserve">effective in flushing out otherwise idle addresses and re-deploying them into the routed network. However, as with all other commodity markets, the </w:t>
      </w:r>
      <w:r w:rsidR="00E13CCF">
        <w:t xml:space="preserve">market </w:t>
      </w:r>
      <w:r w:rsidR="00E94CDC">
        <w:t xml:space="preserve">price of the commodity </w:t>
      </w:r>
      <w:r w:rsidR="00E13CCF">
        <w:t xml:space="preserve">reflects the balancing of supply and demand and the future expectations of supply and demand. What can be seen in the price of traded IPv4 addresses over the past </w:t>
      </w:r>
      <w:r w:rsidR="000B72BB">
        <w:t>10</w:t>
      </w:r>
      <w:r w:rsidR="00E13CCF">
        <w:t xml:space="preserve"> years? </w:t>
      </w:r>
    </w:p>
    <w:p w14:paraId="077C9B53" w14:textId="77777777" w:rsidR="000F067E" w:rsidRDefault="000F067E" w:rsidP="00D615D7"/>
    <w:p w14:paraId="66B68069" w14:textId="69C0C46F" w:rsidR="00E13CCF" w:rsidRDefault="00E13CCF" w:rsidP="00D615D7">
      <w:r>
        <w:lastRenderedPageBreak/>
        <w:t>One of the address brokers, Hilco Streambank</w:t>
      </w:r>
      <w:r w:rsidR="000B72BB">
        <w:t>’s IPv4.Global</w:t>
      </w:r>
      <w:r>
        <w:t xml:space="preserve">, publish the historical price information of transactions (if only all the address brokers did the same, as a market with open price information for transactions can operate more efficiently and fairly than markets where price information is occluded). Figure </w:t>
      </w:r>
      <w:r w:rsidR="009D7523">
        <w:t>9</w:t>
      </w:r>
      <w:r>
        <w:t xml:space="preserve"> uses the </w:t>
      </w:r>
      <w:hyperlink r:id="rId28" w:history="1">
        <w:r w:rsidRPr="009D7523">
          <w:rPr>
            <w:rStyle w:val="Hyperlink"/>
          </w:rPr>
          <w:t xml:space="preserve">Hilco Streambank </w:t>
        </w:r>
        <w:r w:rsidR="000B72BB">
          <w:rPr>
            <w:rStyle w:val="Hyperlink"/>
          </w:rPr>
          <w:t xml:space="preserve">IPv4.Global </w:t>
        </w:r>
        <w:r w:rsidRPr="009D7523">
          <w:rPr>
            <w:rStyle w:val="Hyperlink"/>
          </w:rPr>
          <w:t>t</w:t>
        </w:r>
        <w:r w:rsidRPr="009D7523">
          <w:rPr>
            <w:rStyle w:val="Hyperlink"/>
          </w:rPr>
          <w:t>ransa</w:t>
        </w:r>
        <w:r w:rsidRPr="009D7523">
          <w:rPr>
            <w:rStyle w:val="Hyperlink"/>
          </w:rPr>
          <w:t>c</w:t>
        </w:r>
        <w:r w:rsidRPr="009D7523">
          <w:rPr>
            <w:rStyle w:val="Hyperlink"/>
          </w:rPr>
          <w:t>tion data</w:t>
        </w:r>
      </w:hyperlink>
      <w:r>
        <w:t xml:space="preserve"> to produce a time series of address price.</w:t>
      </w:r>
    </w:p>
    <w:p w14:paraId="329C9A11" w14:textId="77777777" w:rsidR="00527706" w:rsidRDefault="00527706" w:rsidP="00D615D7"/>
    <w:p w14:paraId="19907BC4" w14:textId="3C3F0C2D" w:rsidR="00E13CCF" w:rsidRDefault="009D7523" w:rsidP="00E13CCF">
      <w:pPr>
        <w:ind w:left="720"/>
      </w:pPr>
      <w:r>
        <w:rPr>
          <w:noProof/>
        </w:rPr>
        <w:drawing>
          <wp:inline distT="0" distB="0" distL="0" distR="0" wp14:anchorId="59C2F05D" wp14:editId="4B6710B2">
            <wp:extent cx="5619750" cy="3951679"/>
            <wp:effectExtent l="0" t="0" r="0" b="0"/>
            <wp:docPr id="11284065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06549" name="Picture 1128406549"/>
                    <pic:cNvPicPr/>
                  </pic:nvPicPr>
                  <pic:blipFill>
                    <a:blip r:embed="rId29"/>
                    <a:stretch>
                      <a:fillRect/>
                    </a:stretch>
                  </pic:blipFill>
                  <pic:spPr>
                    <a:xfrm>
                      <a:off x="0" y="0"/>
                      <a:ext cx="5641432" cy="3966925"/>
                    </a:xfrm>
                    <a:prstGeom prst="rect">
                      <a:avLst/>
                    </a:prstGeom>
                  </pic:spPr>
                </pic:pic>
              </a:graphicData>
            </a:graphic>
          </wp:inline>
        </w:drawing>
      </w:r>
    </w:p>
    <w:p w14:paraId="29F6BB97" w14:textId="724D929C" w:rsidR="009B5395" w:rsidRDefault="009B5395" w:rsidP="00E13CCF">
      <w:pPr>
        <w:ind w:left="720"/>
      </w:pPr>
      <w:r w:rsidRPr="00986DB8">
        <w:rPr>
          <w:i/>
          <w:sz w:val="21"/>
        </w:rPr>
        <w:t xml:space="preserve">Figure </w:t>
      </w:r>
      <w:r w:rsidR="00BB3EF6">
        <w:rPr>
          <w:i/>
          <w:sz w:val="21"/>
        </w:rPr>
        <w:t>9</w:t>
      </w:r>
      <w:r w:rsidRPr="00986DB8">
        <w:rPr>
          <w:i/>
          <w:sz w:val="21"/>
        </w:rPr>
        <w:t xml:space="preserve"> – </w:t>
      </w:r>
      <w:r>
        <w:rPr>
          <w:i/>
          <w:sz w:val="21"/>
        </w:rPr>
        <w:t xml:space="preserve">IPv4 Price Time Series (data from </w:t>
      </w:r>
      <w:hyperlink r:id="rId30" w:history="1">
        <w:r w:rsidRPr="000B72BB">
          <w:rPr>
            <w:rStyle w:val="Hyperlink"/>
            <w:i/>
            <w:sz w:val="21"/>
          </w:rPr>
          <w:t>Hilco Streambank</w:t>
        </w:r>
        <w:r w:rsidR="000B72BB" w:rsidRPr="000B72BB">
          <w:rPr>
            <w:rStyle w:val="Hyperlink"/>
            <w:i/>
            <w:iCs/>
            <w:sz w:val="21"/>
            <w:szCs w:val="21"/>
          </w:rPr>
          <w:t xml:space="preserve"> IPv4.Global</w:t>
        </w:r>
      </w:hyperlink>
      <w:r>
        <w:rPr>
          <w:i/>
          <w:sz w:val="21"/>
        </w:rPr>
        <w:t>)</w:t>
      </w:r>
    </w:p>
    <w:p w14:paraId="76504C1B" w14:textId="01848E64" w:rsidR="00E13CCF" w:rsidRDefault="00E13CCF" w:rsidP="00D615D7"/>
    <w:p w14:paraId="127A14C3" w14:textId="77777777" w:rsidR="00CC7B5E" w:rsidRDefault="00527706" w:rsidP="00527706">
      <w:r>
        <w:t xml:space="preserve">There are </w:t>
      </w:r>
      <w:proofErr w:type="gramStart"/>
      <w:r>
        <w:t>a number of</w:t>
      </w:r>
      <w:proofErr w:type="gramEnd"/>
      <w:r>
        <w:t xml:space="preserve"> distinct behaviour modes in this </w:t>
      </w:r>
      <w:r w:rsidR="00DB6DE7">
        <w:t>time series data</w:t>
      </w:r>
      <w:r>
        <w:t>. The initial data prior to 2016 reflected a relatively low volume of transactions with stable pricing just below $10 per address. Over the ensuing 4 years, up to the start of 2019</w:t>
      </w:r>
      <w:r w:rsidR="00DB6DE7">
        <w:t>,</w:t>
      </w:r>
      <w:r>
        <w:t xml:space="preserve"> the </w:t>
      </w:r>
      <w:r w:rsidR="00DB6DE7">
        <w:t xml:space="preserve">unit </w:t>
      </w:r>
      <w:r>
        <w:t xml:space="preserve">price doubled, with small blocks (/24s and /23s) attracting a price premium. The price stabilised for the next 18 months at between $20 to $25 per address, with large and small blocks trading as a similar unit price. The 18 months </w:t>
      </w:r>
      <w:r w:rsidR="00DB6DE7">
        <w:t xml:space="preserve">from mid-2020 </w:t>
      </w:r>
      <w:r>
        <w:t xml:space="preserve">up to the start of 2022 saw a new dynamic which was reflective of an exponential rise in prices, and the </w:t>
      </w:r>
      <w:r w:rsidR="00DB6DE7">
        <w:t xml:space="preserve">unit </w:t>
      </w:r>
      <w:r>
        <w:t xml:space="preserve">price lifted to between $45 and $60 per address by the end of 2021. The year 2022 saw the average market price drop across the year, but the variance in prices increased and trades at the end of the year were recorded at prices of between $40 to $60 per address. </w:t>
      </w:r>
    </w:p>
    <w:p w14:paraId="404CECDC" w14:textId="77777777" w:rsidR="00CC7B5E" w:rsidRDefault="00CC7B5E" w:rsidP="00527706"/>
    <w:p w14:paraId="3E567ED6" w14:textId="4D1D2980" w:rsidR="00527706" w:rsidRDefault="00527706" w:rsidP="00527706">
      <w:r>
        <w:t>This price decline continued across 2023, and by the end of 202</w:t>
      </w:r>
      <w:r w:rsidR="007E1B89">
        <w:t>3</w:t>
      </w:r>
      <w:r>
        <w:t xml:space="preserve"> IPv4 addresses were traded at unit prices </w:t>
      </w:r>
      <w:r w:rsidR="00CC7B5E">
        <w:t xml:space="preserve">of </w:t>
      </w:r>
      <w:r>
        <w:t>between $</w:t>
      </w:r>
      <w:r w:rsidR="00DB4A5F">
        <w:t>26</w:t>
      </w:r>
      <w:r>
        <w:t xml:space="preserve"> to $40. </w:t>
      </w:r>
      <w:r w:rsidR="00D44D95">
        <w:t xml:space="preserve"> The prices of addresses across 2024 were relatively stable, and this is shown in a view of the average unit price of addresses per month for each prefix size over </w:t>
      </w:r>
      <w:r w:rsidR="00CC7B5E">
        <w:t xml:space="preserve">2023 and </w:t>
      </w:r>
      <w:r w:rsidR="00D44D95">
        <w:t>2024 (Figure 10).</w:t>
      </w:r>
    </w:p>
    <w:p w14:paraId="53FA957F" w14:textId="1F2897CB" w:rsidR="00D44D95" w:rsidRDefault="00CC7B5E" w:rsidP="00D44D95">
      <w:pPr>
        <w:ind w:left="720"/>
      </w:pPr>
      <w:r>
        <w:rPr>
          <w:noProof/>
        </w:rPr>
        <w:lastRenderedPageBreak/>
        <w:drawing>
          <wp:inline distT="0" distB="0" distL="0" distR="0" wp14:anchorId="73540349" wp14:editId="6CFD33B7">
            <wp:extent cx="5060950" cy="3558743"/>
            <wp:effectExtent l="0" t="0" r="0" b="0"/>
            <wp:docPr id="92669980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99801" name="Picture 21" descr="A graph of different colored lines&#10;&#10;Description automatically generated"/>
                    <pic:cNvPicPr/>
                  </pic:nvPicPr>
                  <pic:blipFill>
                    <a:blip r:embed="rId31"/>
                    <a:stretch>
                      <a:fillRect/>
                    </a:stretch>
                  </pic:blipFill>
                  <pic:spPr>
                    <a:xfrm>
                      <a:off x="0" y="0"/>
                      <a:ext cx="5076577" cy="3569732"/>
                    </a:xfrm>
                    <a:prstGeom prst="rect">
                      <a:avLst/>
                    </a:prstGeom>
                  </pic:spPr>
                </pic:pic>
              </a:graphicData>
            </a:graphic>
          </wp:inline>
        </w:drawing>
      </w:r>
    </w:p>
    <w:p w14:paraId="4D45F2F9" w14:textId="0AF44CD7" w:rsidR="00D44D95" w:rsidRPr="00D44D95" w:rsidRDefault="00D44D95" w:rsidP="00D44D95">
      <w:pPr>
        <w:ind w:left="720"/>
        <w:rPr>
          <w:i/>
          <w:iCs/>
          <w:sz w:val="22"/>
          <w:szCs w:val="22"/>
        </w:rPr>
      </w:pPr>
      <w:r w:rsidRPr="00D44D95">
        <w:rPr>
          <w:i/>
          <w:iCs/>
          <w:sz w:val="22"/>
          <w:szCs w:val="22"/>
        </w:rPr>
        <w:t xml:space="preserve">Figure 10 – Average unit price per prefix per month over </w:t>
      </w:r>
      <w:r w:rsidR="007E1B89">
        <w:rPr>
          <w:i/>
          <w:iCs/>
          <w:sz w:val="22"/>
          <w:szCs w:val="22"/>
        </w:rPr>
        <w:t xml:space="preserve">2023 - </w:t>
      </w:r>
      <w:r w:rsidRPr="00D44D95">
        <w:rPr>
          <w:i/>
          <w:iCs/>
          <w:sz w:val="22"/>
          <w:szCs w:val="22"/>
        </w:rPr>
        <w:t>2024</w:t>
      </w:r>
    </w:p>
    <w:p w14:paraId="10B324E5" w14:textId="77777777" w:rsidR="0035098F" w:rsidRDefault="0035098F" w:rsidP="00527706"/>
    <w:p w14:paraId="174CB69B" w14:textId="2B0E25DB" w:rsidR="00527706" w:rsidRDefault="00527706" w:rsidP="00527706">
      <w:r>
        <w:t xml:space="preserve">If prices are reflective of supply and demand it appears that demand has increased at a far greater level than supply, and the price escalation across 2021 reflects some form of </w:t>
      </w:r>
      <w:r w:rsidR="00D44D95">
        <w:t xml:space="preserve">perceived </w:t>
      </w:r>
      <w:r>
        <w:t xml:space="preserve">scarcity premium being applied to addresses in recent times. </w:t>
      </w:r>
      <w:r w:rsidR="00D44D95">
        <w:t>However, the subsequent price slump shows that this perception was short-lived, and the average unit price movement of $2.50 per year appears to have been resumed in 2024.</w:t>
      </w:r>
    </w:p>
    <w:p w14:paraId="03BFB28A" w14:textId="77777777" w:rsidR="00527706" w:rsidRDefault="00527706" w:rsidP="00D615D7"/>
    <w:p w14:paraId="1A0D65D5" w14:textId="41808ADA" w:rsidR="000C7906" w:rsidRDefault="00396712" w:rsidP="00D615D7">
      <w:r>
        <w:t xml:space="preserve">Is </w:t>
      </w:r>
      <w:r w:rsidR="002D2319">
        <w:t xml:space="preserve">the </w:t>
      </w:r>
      <w:r>
        <w:t>supply o</w:t>
      </w:r>
      <w:r w:rsidR="00D3799E">
        <w:t>f</w:t>
      </w:r>
      <w:r>
        <w:t xml:space="preserve"> tradable IPv4 address declining? </w:t>
      </w:r>
      <w:r w:rsidR="00D615D7">
        <w:t xml:space="preserve">One way to provide some insight into answering this question is to look at the </w:t>
      </w:r>
      <w:r w:rsidR="00D3799E">
        <w:t xml:space="preserve">registration </w:t>
      </w:r>
      <w:r w:rsidR="00D615D7" w:rsidRPr="00D3799E">
        <w:t>age</w:t>
      </w:r>
      <w:r w:rsidR="00D615D7">
        <w:t xml:space="preserve"> of transferred addresses. Are such addresses </w:t>
      </w:r>
      <w:r w:rsidR="000C7906">
        <w:t>predominately recently allocated addresses</w:t>
      </w:r>
      <w:r w:rsidR="008F51CA">
        <w:t xml:space="preserve">, or </w:t>
      </w:r>
      <w:r w:rsidR="00D615D7">
        <w:t xml:space="preserve">are they </w:t>
      </w:r>
      <w:r w:rsidR="000C7906">
        <w:t xml:space="preserve">longer held address addresses where the holder is wanting to realise </w:t>
      </w:r>
      <w:r w:rsidR="00D615D7">
        <w:t xml:space="preserve">the inherent value in </w:t>
      </w:r>
      <w:r w:rsidR="000C7906">
        <w:t>otherwise unused assets</w:t>
      </w:r>
      <w:r w:rsidR="00D615D7">
        <w:t>?</w:t>
      </w:r>
      <w:r w:rsidR="000C7906">
        <w:t xml:space="preserve"> The basic question concerns the age distribution of transferred addresses where the </w:t>
      </w:r>
      <w:r w:rsidR="000C7906" w:rsidRPr="00270514">
        <w:t>age</w:t>
      </w:r>
      <w:r w:rsidR="000C7906">
        <w:t xml:space="preserve"> of an address reflects the period since it was first allocated or assigned by the RIR system.</w:t>
      </w:r>
    </w:p>
    <w:p w14:paraId="14F28E5B" w14:textId="77777777" w:rsidR="000C7906" w:rsidRDefault="000C7906" w:rsidP="00E03209"/>
    <w:p w14:paraId="5DDA15C1" w14:textId="210DE947" w:rsidR="007169B6" w:rsidRDefault="007E3C03" w:rsidP="003D2214">
      <w:r>
        <w:t xml:space="preserve">The cumulative age distribution of transferred addresses </w:t>
      </w:r>
      <w:r w:rsidR="003D2214">
        <w:t xml:space="preserve">by transaction </w:t>
      </w:r>
      <w:r>
        <w:t xml:space="preserve">is shown on </w:t>
      </w:r>
      <w:r w:rsidR="002D3E7D">
        <w:t>a year-by-year basis in Figure</w:t>
      </w:r>
      <w:r w:rsidR="00493356">
        <w:t xml:space="preserve">s </w:t>
      </w:r>
      <w:r w:rsidR="00D44D95">
        <w:t>11</w:t>
      </w:r>
      <w:r w:rsidR="00493356">
        <w:t xml:space="preserve"> and 1</w:t>
      </w:r>
      <w:r w:rsidR="00D44D95">
        <w:t>2</w:t>
      </w:r>
      <w:r>
        <w:t xml:space="preserve">. </w:t>
      </w:r>
    </w:p>
    <w:p w14:paraId="0AC75FC3" w14:textId="77777777" w:rsidR="007169B6" w:rsidRDefault="007169B6" w:rsidP="003D2214"/>
    <w:p w14:paraId="1579FFBF" w14:textId="0967315E" w:rsidR="005168EF" w:rsidRDefault="000B7519" w:rsidP="003D2214">
      <w:r>
        <w:t>In the period 2019 – 2021 a visible subset of a</w:t>
      </w:r>
      <w:r w:rsidR="00493356">
        <w:t>ddress holders appear</w:t>
      </w:r>
      <w:r>
        <w:t>ed</w:t>
      </w:r>
      <w:r w:rsidR="00493356">
        <w:t xml:space="preserve"> to hold recently allocated addresses for the policy-mandated minimum holding period of some 2 years, </w:t>
      </w:r>
      <w:r>
        <w:t>and then</w:t>
      </w:r>
      <w:r w:rsidR="007169B6">
        <w:t xml:space="preserve"> transfer these addresses on the market. </w:t>
      </w:r>
      <w:r w:rsidR="005168EF">
        <w:t>In previous years s</w:t>
      </w:r>
      <w:r w:rsidR="007169B6">
        <w:t xml:space="preserve">ome </w:t>
      </w:r>
      <w:r w:rsidR="008854E0">
        <w:t>8</w:t>
      </w:r>
      <w:r w:rsidR="007169B6">
        <w:t xml:space="preserve">% of addresses that were transferred </w:t>
      </w:r>
      <w:r w:rsidR="005168EF">
        <w:t>were originally allocated up to 5 years prior to the transfer. In 2022 this number has fallen to 4%, which is presumably related to the smaller volumes of address allocations in 2022 rather than any change in behaviours of address holders</w:t>
      </w:r>
      <w:r>
        <w:t>, and in 2023</w:t>
      </w:r>
      <w:r w:rsidR="005749AE">
        <w:t xml:space="preserve"> and 2024</w:t>
      </w:r>
      <w:r>
        <w:t xml:space="preserve"> this behaviour has all but disappeared, due to the very small volume of address allocations by the RIRs rather than any change in the behaviour of address holders.</w:t>
      </w:r>
    </w:p>
    <w:p w14:paraId="1015F0B6" w14:textId="77777777" w:rsidR="005749AE" w:rsidRDefault="005749AE" w:rsidP="003D2214"/>
    <w:p w14:paraId="4BE2F410" w14:textId="4C5DA3F4" w:rsidR="005749AE" w:rsidRDefault="005749AE" w:rsidP="003D2214">
      <w:r>
        <w:t xml:space="preserve">The bulk of transferred addresses in 20-24 (more than 50% of the total volume) were originally allocated between 15 and 22 years ago, or between 2003 and 2010. </w:t>
      </w:r>
    </w:p>
    <w:p w14:paraId="384BE711" w14:textId="09857FBC" w:rsidR="000C7906" w:rsidRDefault="000C7906" w:rsidP="00493356">
      <w:pPr>
        <w:ind w:left="720"/>
      </w:pPr>
    </w:p>
    <w:p w14:paraId="22B18390" w14:textId="45BE3CB0" w:rsidR="00A81FAC" w:rsidRDefault="005749AE" w:rsidP="00E215C2">
      <w:pPr>
        <w:ind w:left="720"/>
      </w:pPr>
      <w:r>
        <w:rPr>
          <w:noProof/>
        </w:rPr>
        <w:lastRenderedPageBreak/>
        <w:drawing>
          <wp:inline distT="0" distB="0" distL="0" distR="0" wp14:anchorId="2E2B131D" wp14:editId="69BD4ADD">
            <wp:extent cx="5245100" cy="3688233"/>
            <wp:effectExtent l="0" t="0" r="0" b="0"/>
            <wp:docPr id="2493166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16685" name="Picture 249316685"/>
                    <pic:cNvPicPr/>
                  </pic:nvPicPr>
                  <pic:blipFill>
                    <a:blip r:embed="rId32"/>
                    <a:stretch>
                      <a:fillRect/>
                    </a:stretch>
                  </pic:blipFill>
                  <pic:spPr>
                    <a:xfrm>
                      <a:off x="0" y="0"/>
                      <a:ext cx="5252086" cy="3693145"/>
                    </a:xfrm>
                    <a:prstGeom prst="rect">
                      <a:avLst/>
                    </a:prstGeom>
                  </pic:spPr>
                </pic:pic>
              </a:graphicData>
            </a:graphic>
          </wp:inline>
        </w:drawing>
      </w:r>
    </w:p>
    <w:p w14:paraId="46F1BF61" w14:textId="665B11B0" w:rsidR="00E74AB2" w:rsidRPr="00986DB8" w:rsidRDefault="00E74AB2" w:rsidP="00E74AB2">
      <w:pPr>
        <w:ind w:left="720"/>
        <w:rPr>
          <w:i/>
          <w:sz w:val="21"/>
        </w:rPr>
      </w:pPr>
      <w:r>
        <w:rPr>
          <w:i/>
          <w:sz w:val="21"/>
        </w:rPr>
        <w:t xml:space="preserve">Figure </w:t>
      </w:r>
      <w:r w:rsidR="005749AE">
        <w:rPr>
          <w:i/>
          <w:sz w:val="21"/>
        </w:rPr>
        <w:t>11</w:t>
      </w:r>
      <w:r w:rsidRPr="00986DB8">
        <w:rPr>
          <w:i/>
          <w:sz w:val="21"/>
        </w:rPr>
        <w:t xml:space="preserve"> – Age distribution of t</w:t>
      </w:r>
      <w:r>
        <w:rPr>
          <w:i/>
          <w:sz w:val="21"/>
        </w:rPr>
        <w:t>ransfer</w:t>
      </w:r>
      <w:r w:rsidR="00493356">
        <w:rPr>
          <w:i/>
          <w:sz w:val="21"/>
        </w:rPr>
        <w:t>red addresses</w:t>
      </w:r>
    </w:p>
    <w:p w14:paraId="24440654" w14:textId="77777777" w:rsidR="00F753E1" w:rsidRDefault="00F753E1" w:rsidP="00E03209"/>
    <w:p w14:paraId="352F5BDE" w14:textId="0231E7BB" w:rsidR="000B7519" w:rsidRDefault="000B7519" w:rsidP="000B7519">
      <w:r>
        <w:t>Figure 1</w:t>
      </w:r>
      <w:r w:rsidR="005749AE">
        <w:t>2</w:t>
      </w:r>
      <w:r>
        <w:t xml:space="preserve"> shows the cumulative age distribution of transfer transactions, and the disparity between the two distributions for 202</w:t>
      </w:r>
      <w:r w:rsidR="005749AE">
        <w:t>4</w:t>
      </w:r>
      <w:r>
        <w:t xml:space="preserve"> show that recent individual allocations have been far smaller in size but are still being traded. Some 20% of the recorded transfer transactions in 202</w:t>
      </w:r>
      <w:r w:rsidR="005749AE">
        <w:t>4</w:t>
      </w:r>
      <w:r>
        <w:t xml:space="preserve"> refer to an address prefix that was allocated within the past 5 years, yet these transactions encompass less than 2% of the inventory of transferred addresses in 202</w:t>
      </w:r>
      <w:r w:rsidR="005749AE">
        <w:t>4</w:t>
      </w:r>
      <w:r>
        <w:t xml:space="preserve">. Some </w:t>
      </w:r>
      <w:r w:rsidR="005749AE">
        <w:t>48</w:t>
      </w:r>
      <w:r>
        <w:t>% of the volume of transferred addresses were originally allocated 20 or more years ago, while these transactions are recorded in just 1</w:t>
      </w:r>
      <w:r w:rsidR="005749AE">
        <w:t>7</w:t>
      </w:r>
      <w:r>
        <w:t>% of the transfers recorded in 202</w:t>
      </w:r>
      <w:r w:rsidR="005749AE">
        <w:t>4</w:t>
      </w:r>
      <w:r>
        <w:t>.</w:t>
      </w:r>
    </w:p>
    <w:p w14:paraId="663729A1" w14:textId="523B886A" w:rsidR="007E3C03" w:rsidRDefault="007E3C03" w:rsidP="00F753E1">
      <w:pPr>
        <w:ind w:left="720"/>
        <w:jc w:val="left"/>
      </w:pPr>
    </w:p>
    <w:p w14:paraId="0142DF9B" w14:textId="686D6D4E" w:rsidR="00E215C2" w:rsidRDefault="005749AE" w:rsidP="00E215C2">
      <w:pPr>
        <w:ind w:left="720"/>
        <w:jc w:val="left"/>
      </w:pPr>
      <w:r>
        <w:rPr>
          <w:noProof/>
        </w:rPr>
        <w:drawing>
          <wp:inline distT="0" distB="0" distL="0" distR="0" wp14:anchorId="49074724" wp14:editId="4EA7B220">
            <wp:extent cx="5213350" cy="3665907"/>
            <wp:effectExtent l="0" t="0" r="0" b="4445"/>
            <wp:docPr id="16558024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02425" name="Picture 1655802425"/>
                    <pic:cNvPicPr/>
                  </pic:nvPicPr>
                  <pic:blipFill>
                    <a:blip r:embed="rId33"/>
                    <a:stretch>
                      <a:fillRect/>
                    </a:stretch>
                  </pic:blipFill>
                  <pic:spPr>
                    <a:xfrm>
                      <a:off x="0" y="0"/>
                      <a:ext cx="5233354" cy="3679973"/>
                    </a:xfrm>
                    <a:prstGeom prst="rect">
                      <a:avLst/>
                    </a:prstGeom>
                  </pic:spPr>
                </pic:pic>
              </a:graphicData>
            </a:graphic>
          </wp:inline>
        </w:drawing>
      </w:r>
    </w:p>
    <w:p w14:paraId="0D97D374" w14:textId="036351C9" w:rsidR="00521F87" w:rsidRDefault="002D3E7D" w:rsidP="00F753E1">
      <w:pPr>
        <w:ind w:left="720"/>
        <w:rPr>
          <w:i/>
          <w:sz w:val="21"/>
        </w:rPr>
      </w:pPr>
      <w:r w:rsidRPr="00986DB8">
        <w:rPr>
          <w:i/>
          <w:sz w:val="21"/>
        </w:rPr>
        <w:t xml:space="preserve">Figure </w:t>
      </w:r>
      <w:r w:rsidR="007169B6">
        <w:rPr>
          <w:i/>
          <w:sz w:val="21"/>
        </w:rPr>
        <w:t>1</w:t>
      </w:r>
      <w:r w:rsidR="005749AE">
        <w:rPr>
          <w:i/>
          <w:sz w:val="21"/>
        </w:rPr>
        <w:t>2</w:t>
      </w:r>
      <w:r w:rsidR="00132095" w:rsidRPr="00986DB8">
        <w:rPr>
          <w:i/>
          <w:sz w:val="21"/>
        </w:rPr>
        <w:t xml:space="preserve"> – Age distribution of </w:t>
      </w:r>
      <w:r w:rsidR="002D2319">
        <w:rPr>
          <w:i/>
          <w:sz w:val="21"/>
        </w:rPr>
        <w:t>T</w:t>
      </w:r>
      <w:r w:rsidR="00E006EF">
        <w:rPr>
          <w:i/>
          <w:sz w:val="21"/>
        </w:rPr>
        <w:t>ransfer</w:t>
      </w:r>
      <w:r w:rsidR="00D615D7">
        <w:rPr>
          <w:i/>
          <w:sz w:val="21"/>
        </w:rPr>
        <w:t xml:space="preserve"> </w:t>
      </w:r>
      <w:r w:rsidR="002D2319">
        <w:rPr>
          <w:i/>
          <w:sz w:val="21"/>
        </w:rPr>
        <w:t>T</w:t>
      </w:r>
      <w:r w:rsidR="00D615D7">
        <w:rPr>
          <w:i/>
          <w:sz w:val="21"/>
        </w:rPr>
        <w:t>ransactions</w:t>
      </w:r>
    </w:p>
    <w:p w14:paraId="07C6218D" w14:textId="55513722" w:rsidR="00F753E1" w:rsidRDefault="00E006EF" w:rsidP="007169B6">
      <w:pPr>
        <w:ind w:left="720"/>
        <w:rPr>
          <w:i/>
          <w:sz w:val="21"/>
        </w:rPr>
      </w:pPr>
      <w:r>
        <w:rPr>
          <w:i/>
          <w:sz w:val="21"/>
        </w:rPr>
        <w:t xml:space="preserve">       </w:t>
      </w:r>
    </w:p>
    <w:p w14:paraId="11FBB3A4" w14:textId="490CBB26" w:rsidR="005749AE" w:rsidRDefault="00953BDC" w:rsidP="00953BDC">
      <w:r>
        <w:t xml:space="preserve">There </w:t>
      </w:r>
      <w:r w:rsidR="002D374D">
        <w:t>appear to be</w:t>
      </w:r>
      <w:r>
        <w:t xml:space="preserve"> </w:t>
      </w:r>
      <w:proofErr w:type="gramStart"/>
      <w:r>
        <w:t>a number of</w:t>
      </w:r>
      <w:proofErr w:type="gramEnd"/>
      <w:r>
        <w:t xml:space="preserve"> motivations driving the transfer process.</w:t>
      </w:r>
    </w:p>
    <w:p w14:paraId="002C3247" w14:textId="77777777" w:rsidR="005749AE" w:rsidRDefault="005749AE" w:rsidP="00953BDC"/>
    <w:p w14:paraId="49D3680E" w14:textId="4A07CFA4" w:rsidR="005749AE" w:rsidRDefault="00953BDC" w:rsidP="00953BDC">
      <w:r>
        <w:t xml:space="preserve">One is </w:t>
      </w:r>
      <w:r w:rsidR="000B7519">
        <w:t>when</w:t>
      </w:r>
      <w:r>
        <w:t xml:space="preserve"> demand is outstrip</w:t>
      </w:r>
      <w:r w:rsidR="000B7519">
        <w:t>s</w:t>
      </w:r>
      <w:r>
        <w:t xml:space="preserve"> supply and price escalation is an inevitable consequence. This may motivate some network operators to purchase addresses early, in the expectation that further delay will encounter higher prices. This factor also may motivate some address holder to defer the decision to sell their addresses, in that delay will improve the price. Taken together, these motivations can impair market liquidity and create a feedback loop that causes price escalation. This appears to </w:t>
      </w:r>
      <w:r w:rsidR="005749AE">
        <w:t xml:space="preserve">have </w:t>
      </w:r>
      <w:r>
        <w:t>be</w:t>
      </w:r>
      <w:r w:rsidR="005749AE">
        <w:t>en</w:t>
      </w:r>
      <w:r>
        <w:t xml:space="preserve"> the case in 2021.</w:t>
      </w:r>
    </w:p>
    <w:p w14:paraId="49325493" w14:textId="77777777" w:rsidR="005749AE" w:rsidRDefault="005749AE" w:rsidP="00953BDC"/>
    <w:p w14:paraId="2C32806C" w14:textId="0547844E" w:rsidR="00953BDC" w:rsidRDefault="00953BDC" w:rsidP="00953BDC">
      <w:r>
        <w:t>The second factor is IPv6 deployment. Many applications prefer to use IPv6 over IPv4 if they can (the so-called “Happy Eyeballs” protocol for protocol selection). For a dual stack access network this means that the more the services that they use are provisioned with dual stack</w:t>
      </w:r>
      <w:r w:rsidR="005749AE">
        <w:t>, then</w:t>
      </w:r>
      <w:r>
        <w:t xml:space="preserve"> the lower the traffic volume that uses IPv4, and the lower the consumption pressure on their IPv4 CG-NAT</w:t>
      </w:r>
      <w:r w:rsidR="00743EC4">
        <w:t xml:space="preserve"> address pool</w:t>
      </w:r>
      <w:r>
        <w:t>s, which reduces their ongoing demand for IPv4 address space. This reduced demand for additional IPv4 addresses has an impact on the market price. A falling market price acts as a motivation for sellers to bring their unused address inventory to market sooner, as further delay will only result in a lower price.</w:t>
      </w:r>
    </w:p>
    <w:p w14:paraId="0EF890F8" w14:textId="70DE3C07" w:rsidR="00953BDC" w:rsidRDefault="00953BDC" w:rsidP="00953BDC"/>
    <w:p w14:paraId="18B1D2C1" w14:textId="17FB3B61" w:rsidR="00953BDC" w:rsidRDefault="00953BDC" w:rsidP="00953BDC">
      <w:r>
        <w:t xml:space="preserve">The overriding feature of this address market is the level of uncertainty within the market over the state of the IPv6 transition, coupled with the uncertainty over the further growth of the network. </w:t>
      </w:r>
      <w:r w:rsidR="00767CD7">
        <w:t xml:space="preserve">This high degree of uncertainty may lie behind the very high variance of individual transfer transaction prices, as shown in Figure </w:t>
      </w:r>
      <w:r w:rsidR="00743EC4">
        <w:t>9</w:t>
      </w:r>
      <w:r w:rsidR="00767CD7">
        <w:t>.</w:t>
      </w:r>
      <w:r w:rsidR="000B7519">
        <w:t xml:space="preserve"> However, this uncertainty was resolved to some extent across 2023, and levels of demand appear to have dissipated in</w:t>
      </w:r>
      <w:r w:rsidR="00286800">
        <w:t xml:space="preserve"> the past 12 months</w:t>
      </w:r>
      <w:r w:rsidR="007E1B89">
        <w:t xml:space="preserve"> through 2024</w:t>
      </w:r>
      <w:r w:rsidR="000B7519">
        <w:t>. Have we finally managed to deploy enough network infrastructure in both IPv4 and IPv6 to get ahead of the demand pressures</w:t>
      </w:r>
      <w:r w:rsidR="00286800">
        <w:t>? A</w:t>
      </w:r>
      <w:r w:rsidR="000B7519">
        <w:t>re</w:t>
      </w:r>
      <w:r w:rsidR="00286800">
        <w:t xml:space="preserve"> we</w:t>
      </w:r>
      <w:r w:rsidR="000B7519">
        <w:t xml:space="preserve">, perhaps for the first time, looking at a market which is </w:t>
      </w:r>
      <w:r w:rsidR="00286800">
        <w:t xml:space="preserve">currently </w:t>
      </w:r>
      <w:r w:rsidR="000B7519">
        <w:t>saturated</w:t>
      </w:r>
      <w:r w:rsidR="002319AD">
        <w:t xml:space="preserve"> </w:t>
      </w:r>
      <w:r w:rsidR="00286800">
        <w:t xml:space="preserve">with </w:t>
      </w:r>
      <w:r w:rsidR="002319AD">
        <w:t>sufficient addresses and associated service platform infrastructure.</w:t>
      </w:r>
      <w:r w:rsidR="000B7519">
        <w:t xml:space="preserve"> </w:t>
      </w:r>
    </w:p>
    <w:p w14:paraId="5DDD1C57" w14:textId="0979CCB0" w:rsidR="00E42CD0" w:rsidRDefault="00E42CD0" w:rsidP="0060518B">
      <w:pPr>
        <w:pStyle w:val="Heading4"/>
      </w:pPr>
      <w:r>
        <w:t>Do Transfers Fragment the Address Space?</w:t>
      </w:r>
    </w:p>
    <w:p w14:paraId="18EA2ED7" w14:textId="466F27AB" w:rsidR="00803B34" w:rsidRDefault="00FA757A" w:rsidP="00C00286">
      <w:r>
        <w:t xml:space="preserve">The </w:t>
      </w:r>
      <w:r w:rsidR="006D34B2">
        <w:t>next</w:t>
      </w:r>
      <w:r>
        <w:t xml:space="preserve"> </w:t>
      </w:r>
      <w:r w:rsidR="00432381">
        <w:t xml:space="preserve">question </w:t>
      </w:r>
      <w:r>
        <w:t xml:space="preserve">is whether the transfer process is </w:t>
      </w:r>
      <w:r w:rsidR="00803B34">
        <w:t>further fragmenting the address space by</w:t>
      </w:r>
      <w:r>
        <w:t xml:space="preserve"> splitting up larger address blocks into successively smaller address blocks.</w:t>
      </w:r>
      <w:r w:rsidR="0035638C">
        <w:t xml:space="preserve"> There ar</w:t>
      </w:r>
      <w:r w:rsidR="00C1685D">
        <w:t xml:space="preserve">e </w:t>
      </w:r>
      <w:r w:rsidR="00743EC4">
        <w:t>50,942</w:t>
      </w:r>
      <w:r w:rsidR="008D2213">
        <w:t xml:space="preserve"> transactions </w:t>
      </w:r>
      <w:r w:rsidR="0035638C">
        <w:t xml:space="preserve">described in the </w:t>
      </w:r>
      <w:r w:rsidR="008D2213">
        <w:t xml:space="preserve">RIRs’ </w:t>
      </w:r>
      <w:r w:rsidR="0035638C">
        <w:t>transfer registries</w:t>
      </w:r>
      <w:r w:rsidR="00C1685D">
        <w:t xml:space="preserve"> </w:t>
      </w:r>
      <w:r w:rsidR="007A3612">
        <w:t>from the start of 2012 until the start of 202</w:t>
      </w:r>
      <w:r w:rsidR="00743EC4">
        <w:t>5</w:t>
      </w:r>
      <w:r w:rsidR="00C00286">
        <w:t xml:space="preserve">, </w:t>
      </w:r>
      <w:r w:rsidR="0035638C" w:rsidRPr="00F66F9F">
        <w:rPr>
          <w:color w:val="000000" w:themeColor="text1"/>
        </w:rPr>
        <w:t xml:space="preserve">and of these </w:t>
      </w:r>
      <w:r w:rsidR="000B7D78">
        <w:rPr>
          <w:color w:val="000000" w:themeColor="text1"/>
        </w:rPr>
        <w:t>1</w:t>
      </w:r>
      <w:r w:rsidR="00743EC4">
        <w:rPr>
          <w:color w:val="000000" w:themeColor="text1"/>
        </w:rPr>
        <w:t>2,559</w:t>
      </w:r>
      <w:r w:rsidR="00856499" w:rsidRPr="00F66F9F">
        <w:rPr>
          <w:color w:val="000000" w:themeColor="text1"/>
        </w:rPr>
        <w:t xml:space="preserve"> </w:t>
      </w:r>
      <w:r w:rsidR="00722BE4" w:rsidRPr="00F66F9F">
        <w:rPr>
          <w:color w:val="000000" w:themeColor="text1"/>
        </w:rPr>
        <w:t>entries</w:t>
      </w:r>
      <w:r w:rsidR="0035638C" w:rsidRPr="00F66F9F">
        <w:rPr>
          <w:color w:val="000000" w:themeColor="text1"/>
        </w:rPr>
        <w:t xml:space="preserve"> list </w:t>
      </w:r>
      <w:r w:rsidR="00564B9F" w:rsidRPr="00F66F9F">
        <w:rPr>
          <w:color w:val="000000" w:themeColor="text1"/>
        </w:rPr>
        <w:t xml:space="preserve">transferred </w:t>
      </w:r>
      <w:r w:rsidR="0035638C" w:rsidRPr="00F66F9F">
        <w:rPr>
          <w:color w:val="000000" w:themeColor="text1"/>
        </w:rPr>
        <w:t xml:space="preserve">address blocks that </w:t>
      </w:r>
      <w:r w:rsidR="00730BC7" w:rsidRPr="00F66F9F">
        <w:rPr>
          <w:color w:val="000000" w:themeColor="text1"/>
        </w:rPr>
        <w:t xml:space="preserve">are </w:t>
      </w:r>
      <w:r w:rsidR="00856499" w:rsidRPr="00F66F9F">
        <w:rPr>
          <w:color w:val="000000" w:themeColor="text1"/>
        </w:rPr>
        <w:t>smaller than</w:t>
      </w:r>
      <w:r w:rsidR="00730BC7" w:rsidRPr="00F66F9F">
        <w:rPr>
          <w:color w:val="000000" w:themeColor="text1"/>
        </w:rPr>
        <w:t xml:space="preserve"> the </w:t>
      </w:r>
      <w:r w:rsidR="0035638C" w:rsidRPr="00F66F9F">
        <w:rPr>
          <w:color w:val="000000" w:themeColor="text1"/>
        </w:rPr>
        <w:t>original allocated block</w:t>
      </w:r>
      <w:r w:rsidR="00722BE4" w:rsidRPr="00F66F9F">
        <w:rPr>
          <w:color w:val="000000" w:themeColor="text1"/>
        </w:rPr>
        <w:t>.</w:t>
      </w:r>
      <w:r w:rsidR="0079503F" w:rsidRPr="00F66F9F">
        <w:rPr>
          <w:color w:val="000000" w:themeColor="text1"/>
        </w:rPr>
        <w:t xml:space="preserve"> </w:t>
      </w:r>
      <w:r w:rsidR="000C65E9">
        <w:rPr>
          <w:color w:val="000000" w:themeColor="text1"/>
        </w:rPr>
        <w:t>In other words, s</w:t>
      </w:r>
      <w:r w:rsidR="00856499" w:rsidRPr="00F66F9F">
        <w:rPr>
          <w:color w:val="000000" w:themeColor="text1"/>
        </w:rPr>
        <w:t xml:space="preserve">ome </w:t>
      </w:r>
      <w:r w:rsidR="00F66F9F">
        <w:rPr>
          <w:color w:val="000000" w:themeColor="text1"/>
        </w:rPr>
        <w:t>2</w:t>
      </w:r>
      <w:r w:rsidR="000C65E9">
        <w:rPr>
          <w:color w:val="000000" w:themeColor="text1"/>
        </w:rPr>
        <w:t>5</w:t>
      </w:r>
      <w:r w:rsidR="00856499" w:rsidRPr="00F66F9F">
        <w:rPr>
          <w:color w:val="000000" w:themeColor="text1"/>
        </w:rPr>
        <w:t>% of transfers implicitly perform fragmentation of the original allocation.</w:t>
      </w:r>
    </w:p>
    <w:p w14:paraId="6BB49C97" w14:textId="77777777" w:rsidR="00803B34" w:rsidRDefault="00803B34" w:rsidP="00E03209"/>
    <w:p w14:paraId="2B112A66" w14:textId="06635FC6" w:rsidR="003F258C" w:rsidRDefault="00FA1884" w:rsidP="00E03209">
      <w:r>
        <w:t xml:space="preserve">These </w:t>
      </w:r>
      <w:r w:rsidR="000C65E9">
        <w:t>1</w:t>
      </w:r>
      <w:r w:rsidR="00743EC4">
        <w:t>2</w:t>
      </w:r>
      <w:r w:rsidR="000C65E9">
        <w:t>,</w:t>
      </w:r>
      <w:r w:rsidR="00743EC4">
        <w:t>559</w:t>
      </w:r>
      <w:r>
        <w:t xml:space="preserve"> transfer entries that have fragmented the original allocation are drawn from </w:t>
      </w:r>
      <w:r w:rsidR="00743EC4">
        <w:t>6,578</w:t>
      </w:r>
      <w:r>
        <w:t xml:space="preserve"> original allocations. On average the original allocation is split into </w:t>
      </w:r>
      <w:r w:rsidR="00D52535">
        <w:t>2</w:t>
      </w:r>
      <w:r>
        <w:t xml:space="preserve"> smaller address blocks. T</w:t>
      </w:r>
      <w:r w:rsidR="003F258C">
        <w:t>his data implies that the answer to th</w:t>
      </w:r>
      <w:r w:rsidR="00D52535">
        <w:t>is</w:t>
      </w:r>
      <w:r w:rsidR="003F258C">
        <w:t xml:space="preserve"> question is that address blocks are being fragmented as a result of address transfers, but in absolute terms this is not a major issue. There are some </w:t>
      </w:r>
      <w:r w:rsidR="00E62948">
        <w:t>24</w:t>
      </w:r>
      <w:r w:rsidR="00743EC4">
        <w:t>6,218</w:t>
      </w:r>
      <w:r w:rsidR="00F66F9F">
        <w:t xml:space="preserve"> </w:t>
      </w:r>
      <w:r w:rsidR="003F258C">
        <w:t xml:space="preserve">distinct </w:t>
      </w:r>
      <w:r w:rsidR="00E62948">
        <w:t xml:space="preserve">IPv4 </w:t>
      </w:r>
      <w:r w:rsidR="003F258C">
        <w:t xml:space="preserve">address allocation </w:t>
      </w:r>
      <w:r w:rsidR="00E62948">
        <w:t xml:space="preserve">records in the </w:t>
      </w:r>
      <w:r w:rsidR="003F258C">
        <w:t>RIRs</w:t>
      </w:r>
      <w:r w:rsidR="00E62948">
        <w:t xml:space="preserve"> registries</w:t>
      </w:r>
      <w:r w:rsidR="003F258C">
        <w:t xml:space="preserve"> </w:t>
      </w:r>
      <w:r>
        <w:t>as of the end of 20</w:t>
      </w:r>
      <w:r w:rsidR="00F622DB">
        <w:t>2</w:t>
      </w:r>
      <w:r w:rsidR="00743EC4">
        <w:t>4</w:t>
      </w:r>
      <w:r w:rsidR="003F258C">
        <w:t>, and the fragmentation</w:t>
      </w:r>
      <w:r>
        <w:t xml:space="preserve"> reflected in</w:t>
      </w:r>
      <w:r w:rsidR="00E42CD0">
        <w:t xml:space="preserve"> </w:t>
      </w:r>
      <w:r w:rsidR="00D07218">
        <w:rPr>
          <w:color w:val="000000" w:themeColor="text1"/>
        </w:rPr>
        <w:t xml:space="preserve">12,559 </w:t>
      </w:r>
      <w:r w:rsidR="00E42CD0">
        <w:t xml:space="preserve">more specific entries </w:t>
      </w:r>
      <w:r w:rsidR="003F258C">
        <w:t xml:space="preserve">of </w:t>
      </w:r>
      <w:r w:rsidR="00E42CD0">
        <w:t xml:space="preserve">original </w:t>
      </w:r>
      <w:r w:rsidR="00E62948">
        <w:t xml:space="preserve">allocation </w:t>
      </w:r>
      <w:r w:rsidR="003F258C">
        <w:t xml:space="preserve">address blocks </w:t>
      </w:r>
      <w:r w:rsidR="00E62948">
        <w:t>represents</w:t>
      </w:r>
      <w:r w:rsidR="003F258C">
        <w:t xml:space="preserve"> around </w:t>
      </w:r>
      <w:r w:rsidR="00D07218">
        <w:t>5.1</w:t>
      </w:r>
      <w:r w:rsidR="003F258C">
        <w:t>% of the total pool of allocated address prefixes.</w:t>
      </w:r>
    </w:p>
    <w:p w14:paraId="2C6DC05F" w14:textId="20AE3D0D" w:rsidR="0060518B" w:rsidRDefault="0060518B" w:rsidP="0060518B">
      <w:pPr>
        <w:pStyle w:val="Heading4"/>
      </w:pPr>
      <w:r>
        <w:t>Imports and Exports of Addresses</w:t>
      </w:r>
    </w:p>
    <w:p w14:paraId="01FCFF60" w14:textId="04B84A04" w:rsidR="00432381" w:rsidRDefault="000C7906" w:rsidP="00E03209">
      <w:r>
        <w:t xml:space="preserve">The </w:t>
      </w:r>
      <w:r w:rsidR="00E42CD0">
        <w:t>next</w:t>
      </w:r>
      <w:r>
        <w:t xml:space="preserve"> question concerns the inter</w:t>
      </w:r>
      <w:r w:rsidR="00451E5F">
        <w:t>national</w:t>
      </w:r>
      <w:r>
        <w:t xml:space="preserve"> flow of transferred addresses</w:t>
      </w:r>
      <w:r w:rsidR="00B53831">
        <w:t>.</w:t>
      </w:r>
      <w:r w:rsidR="009F20A8">
        <w:t xml:space="preserve"> Let’s look at the ten </w:t>
      </w:r>
      <w:r w:rsidR="00451E5F">
        <w:t>economies</w:t>
      </w:r>
      <w:r w:rsidR="009F20A8">
        <w:t xml:space="preserve"> that sourced the greatest volume of transferred addresses</w:t>
      </w:r>
      <w:r w:rsidR="00021B67">
        <w:t xml:space="preserve">, irrespective of their destination (i.e. including ‘domestic’ transfers within the same </w:t>
      </w:r>
      <w:r w:rsidR="00451E5F">
        <w:t>economy</w:t>
      </w:r>
      <w:r w:rsidR="00021B67">
        <w:t>)</w:t>
      </w:r>
      <w:r w:rsidR="009F20A8">
        <w:t xml:space="preserve"> (Table 6),</w:t>
      </w:r>
      <w:r w:rsidR="00021B67">
        <w:t xml:space="preserve"> and</w:t>
      </w:r>
      <w:r w:rsidR="009F20A8">
        <w:t xml:space="preserve"> the ten largest recipients of transfers (Table 7), and the ten largest</w:t>
      </w:r>
      <w:r w:rsidR="00451E5F">
        <w:t xml:space="preserve"> international</w:t>
      </w:r>
      <w:r w:rsidR="009F20A8">
        <w:t xml:space="preserve"> address transfers (Table 8).</w:t>
      </w:r>
      <w:r w:rsidR="00A76CD0">
        <w:t xml:space="preserve"> </w:t>
      </w:r>
      <w:r w:rsidR="00FF5E32">
        <w:t>W</w:t>
      </w:r>
      <w:r w:rsidR="00A76CD0">
        <w:t xml:space="preserve">e will use the </w:t>
      </w:r>
      <w:r w:rsidR="00AD0D1C">
        <w:t>RIR-</w:t>
      </w:r>
      <w:r w:rsidR="00A76CD0">
        <w:t xml:space="preserve">published transfer data </w:t>
      </w:r>
      <w:r w:rsidR="00FF5E32">
        <w:t xml:space="preserve">for </w:t>
      </w:r>
      <w:r w:rsidR="00D07218">
        <w:t xml:space="preserve">the year </w:t>
      </w:r>
      <w:r w:rsidR="00FF5E32">
        <w:t>20</w:t>
      </w:r>
      <w:r w:rsidR="00F622DB">
        <w:t>2</w:t>
      </w:r>
      <w:r w:rsidR="00D07218">
        <w:t>4</w:t>
      </w:r>
      <w:r w:rsidR="00451E5F">
        <w:t xml:space="preserve"> as basis for these tables</w:t>
      </w:r>
      <w:r w:rsidR="00A76CD0">
        <w:t>.</w:t>
      </w:r>
    </w:p>
    <w:p w14:paraId="35771D23" w14:textId="3FDC59C1" w:rsidR="00460632" w:rsidRDefault="00460632" w:rsidP="00812634"/>
    <w:p w14:paraId="39DBFDFC" w14:textId="635C63F7" w:rsidR="00193C37" w:rsidRDefault="00D07218" w:rsidP="004E2864">
      <w:pPr>
        <w:ind w:left="720"/>
        <w:rPr>
          <w:i/>
          <w:sz w:val="21"/>
        </w:rPr>
      </w:pPr>
      <w:r w:rsidRPr="00D07218">
        <w:rPr>
          <w:i/>
          <w:noProof/>
          <w:sz w:val="21"/>
        </w:rPr>
        <w:lastRenderedPageBreak/>
        <w:drawing>
          <wp:inline distT="0" distB="0" distL="0" distR="0" wp14:anchorId="6A73F34A" wp14:editId="0ECBB4F1">
            <wp:extent cx="2305050" cy="1905087"/>
            <wp:effectExtent l="0" t="0" r="0" b="0"/>
            <wp:docPr id="102699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96934" name=""/>
                    <pic:cNvPicPr/>
                  </pic:nvPicPr>
                  <pic:blipFill>
                    <a:blip r:embed="rId34"/>
                    <a:stretch>
                      <a:fillRect/>
                    </a:stretch>
                  </pic:blipFill>
                  <pic:spPr>
                    <a:xfrm>
                      <a:off x="0" y="0"/>
                      <a:ext cx="2360741" cy="1951115"/>
                    </a:xfrm>
                    <a:prstGeom prst="rect">
                      <a:avLst/>
                    </a:prstGeom>
                  </pic:spPr>
                </pic:pic>
              </a:graphicData>
            </a:graphic>
          </wp:inline>
        </w:drawing>
      </w:r>
    </w:p>
    <w:p w14:paraId="72D57D49" w14:textId="63C3598F" w:rsidR="004E2864" w:rsidRPr="00986DB8" w:rsidRDefault="004E2864" w:rsidP="004E2864">
      <w:pPr>
        <w:ind w:left="720"/>
        <w:rPr>
          <w:i/>
          <w:sz w:val="21"/>
        </w:rPr>
      </w:pPr>
      <w:r w:rsidRPr="00986DB8">
        <w:rPr>
          <w:i/>
          <w:sz w:val="21"/>
        </w:rPr>
        <w:t>Table 6 – Top 10 Countries Sourcing Transferred IPv4 addresses</w:t>
      </w:r>
      <w:r w:rsidR="00FF5E32">
        <w:rPr>
          <w:i/>
          <w:sz w:val="21"/>
        </w:rPr>
        <w:t xml:space="preserve"> in 20</w:t>
      </w:r>
      <w:r w:rsidR="00EC086E">
        <w:rPr>
          <w:i/>
          <w:sz w:val="21"/>
        </w:rPr>
        <w:t>2</w:t>
      </w:r>
      <w:r w:rsidR="00D07218">
        <w:rPr>
          <w:i/>
          <w:sz w:val="21"/>
        </w:rPr>
        <w:t>4</w:t>
      </w:r>
    </w:p>
    <w:p w14:paraId="12DB6BA4" w14:textId="06BD2B87" w:rsidR="00EC086E" w:rsidRDefault="00EC086E" w:rsidP="004E2864">
      <w:pPr>
        <w:ind w:left="720"/>
        <w:rPr>
          <w:i/>
          <w:sz w:val="21"/>
          <w:szCs w:val="21"/>
        </w:rPr>
      </w:pPr>
    </w:p>
    <w:p w14:paraId="223B8F52" w14:textId="5AFAF4EA" w:rsidR="00EC086E" w:rsidRDefault="00D07218" w:rsidP="004E2864">
      <w:pPr>
        <w:ind w:left="720"/>
        <w:rPr>
          <w:i/>
          <w:sz w:val="21"/>
          <w:szCs w:val="21"/>
        </w:rPr>
      </w:pPr>
      <w:r w:rsidRPr="00D07218">
        <w:rPr>
          <w:i/>
          <w:noProof/>
          <w:sz w:val="21"/>
          <w:szCs w:val="21"/>
        </w:rPr>
        <w:drawing>
          <wp:inline distT="0" distB="0" distL="0" distR="0" wp14:anchorId="68929E48" wp14:editId="022901DA">
            <wp:extent cx="2622550" cy="1864222"/>
            <wp:effectExtent l="0" t="0" r="0" b="3175"/>
            <wp:docPr id="210550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05742" name=""/>
                    <pic:cNvPicPr/>
                  </pic:nvPicPr>
                  <pic:blipFill>
                    <a:blip r:embed="rId35"/>
                    <a:stretch>
                      <a:fillRect/>
                    </a:stretch>
                  </pic:blipFill>
                  <pic:spPr>
                    <a:xfrm>
                      <a:off x="0" y="0"/>
                      <a:ext cx="2664272" cy="1893880"/>
                    </a:xfrm>
                    <a:prstGeom prst="rect">
                      <a:avLst/>
                    </a:prstGeom>
                  </pic:spPr>
                </pic:pic>
              </a:graphicData>
            </a:graphic>
          </wp:inline>
        </w:drawing>
      </w:r>
    </w:p>
    <w:p w14:paraId="4A029C97" w14:textId="422A4CE8" w:rsidR="004E2864" w:rsidRDefault="004E2864" w:rsidP="004E2864">
      <w:pPr>
        <w:ind w:left="720"/>
        <w:rPr>
          <w:i/>
          <w:sz w:val="21"/>
          <w:szCs w:val="21"/>
        </w:rPr>
      </w:pPr>
      <w:r w:rsidRPr="00986DB8">
        <w:rPr>
          <w:i/>
          <w:sz w:val="21"/>
          <w:szCs w:val="21"/>
        </w:rPr>
        <w:t xml:space="preserve">Table 7 – Top 10 Countries </w:t>
      </w:r>
      <w:r w:rsidR="0028687A" w:rsidRPr="00986DB8">
        <w:rPr>
          <w:i/>
          <w:sz w:val="21"/>
          <w:szCs w:val="21"/>
        </w:rPr>
        <w:t>Receiving</w:t>
      </w:r>
      <w:r w:rsidRPr="00986DB8">
        <w:rPr>
          <w:i/>
          <w:sz w:val="21"/>
          <w:szCs w:val="21"/>
        </w:rPr>
        <w:t xml:space="preserve"> Transferred IPv4 addresses</w:t>
      </w:r>
      <w:r w:rsidR="00FF5E32">
        <w:rPr>
          <w:i/>
          <w:sz w:val="21"/>
          <w:szCs w:val="21"/>
        </w:rPr>
        <w:t xml:space="preserve"> in 20</w:t>
      </w:r>
      <w:r w:rsidR="00EC086E">
        <w:rPr>
          <w:i/>
          <w:sz w:val="21"/>
          <w:szCs w:val="21"/>
        </w:rPr>
        <w:t>2</w:t>
      </w:r>
      <w:r w:rsidR="00D07218">
        <w:rPr>
          <w:i/>
          <w:sz w:val="21"/>
          <w:szCs w:val="21"/>
        </w:rPr>
        <w:t>4</w:t>
      </w:r>
    </w:p>
    <w:p w14:paraId="58A21FA2" w14:textId="5EA4803D" w:rsidR="001B47E9" w:rsidRDefault="001B47E9" w:rsidP="004E2864">
      <w:pPr>
        <w:ind w:left="720"/>
        <w:rPr>
          <w:i/>
          <w:sz w:val="21"/>
          <w:szCs w:val="21"/>
        </w:rPr>
      </w:pPr>
    </w:p>
    <w:p w14:paraId="439EEE61" w14:textId="77777777" w:rsidR="00D07218" w:rsidRDefault="001B47E9" w:rsidP="001B47E9">
      <w:r>
        <w:t xml:space="preserve">There are many caveats about this data </w:t>
      </w:r>
      <w:r w:rsidR="002531E6">
        <w:t>collection</w:t>
      </w:r>
      <w:r w:rsidR="004B7B50">
        <w:t xml:space="preserve">, particularly relating to the </w:t>
      </w:r>
      <w:r w:rsidR="00F66F9F">
        <w:t xml:space="preserve">precise </w:t>
      </w:r>
      <w:r w:rsidR="004B7B50">
        <w:t>meaning of this economy-based geolocation. Even if we use only the country-code entry in the RIRs</w:t>
      </w:r>
      <w:r w:rsidR="00D07218">
        <w:t>’</w:t>
      </w:r>
      <w:r w:rsidR="004B7B50">
        <w:t xml:space="preserve"> registry records, then we get a variety of meanings. Some RIRs use the principle that the </w:t>
      </w:r>
      <w:r w:rsidR="00B344EF">
        <w:t xml:space="preserve">recorded </w:t>
      </w:r>
      <w:r w:rsidR="004B7B50">
        <w:t xml:space="preserve">country code entry corresponds to the </w:t>
      </w:r>
      <w:r w:rsidR="00B344EF">
        <w:t xml:space="preserve">physical </w:t>
      </w:r>
      <w:r w:rsidR="004B7B50">
        <w:t xml:space="preserve">location of the </w:t>
      </w:r>
      <w:r w:rsidR="00B344EF">
        <w:t xml:space="preserve">headquarters of </w:t>
      </w:r>
      <w:r w:rsidR="004B7B50">
        <w:t xml:space="preserve">nominated entity that is the holder of the addresses, irrespective of the locale where the addresses are </w:t>
      </w:r>
      <w:r w:rsidR="00B344EF">
        <w:t>used</w:t>
      </w:r>
      <w:r w:rsidR="004B7B50">
        <w:t xml:space="preserve"> </w:t>
      </w:r>
      <w:r w:rsidR="00B344EF">
        <w:t>o</w:t>
      </w:r>
      <w:r w:rsidR="004B7B50">
        <w:t>n the Internet. Other RIRs allow the holder to update th</w:t>
      </w:r>
      <w:r w:rsidR="00B344EF">
        <w:t xml:space="preserve">is geolocation entry to match the holder’s intended locale where the addresses will be used. It is generally not possible to confirm the holder’s assertion of location, so whether these self-managed records reflect the actual location of the addresses or reflect a location of convenience is not always possible to determine. </w:t>
      </w:r>
    </w:p>
    <w:p w14:paraId="0652ED80" w14:textId="77777777" w:rsidR="00D07218" w:rsidRDefault="00D07218" w:rsidP="001B47E9"/>
    <w:p w14:paraId="5E24D03D" w14:textId="689D61FA" w:rsidR="00527AC6" w:rsidRDefault="00B344EF" w:rsidP="001B47E9">
      <w:r>
        <w:t>When we look at the various geolocation services, o</w:t>
      </w:r>
      <w:r w:rsidR="0016227C">
        <w:t>f</w:t>
      </w:r>
      <w:r>
        <w:t xml:space="preserve"> which </w:t>
      </w:r>
      <w:hyperlink r:id="rId36" w:history="1">
        <w:r w:rsidRPr="004A24C1">
          <w:rPr>
            <w:rStyle w:val="Hyperlink"/>
          </w:rPr>
          <w:t>Maxmind</w:t>
        </w:r>
      </w:hyperlink>
      <w:r>
        <w:t xml:space="preserve"> is a commonly used service, </w:t>
      </w:r>
      <w:r w:rsidR="00D07218">
        <w:t>there</w:t>
      </w:r>
      <w:r>
        <w:t xml:space="preserve"> are similar challenges </w:t>
      </w:r>
      <w:r w:rsidR="004A24C1">
        <w:t>in</w:t>
      </w:r>
      <w:r>
        <w:t xml:space="preserve"> </w:t>
      </w:r>
      <w:r w:rsidR="004A24C1">
        <w:t xml:space="preserve">providing a geographic </w:t>
      </w:r>
      <w:r>
        <w:t>locatio</w:t>
      </w:r>
      <w:r w:rsidR="004A24C1">
        <w:t>n service</w:t>
      </w:r>
      <w:r>
        <w:t xml:space="preserve">. At times this is not easy to establish, such as with tunnels used in VPNs. </w:t>
      </w:r>
      <w:r w:rsidR="00527AC6">
        <w:t>Is the “correct” location the location of the tunnel ingress or tunnel egress? Many of the fine-grained differences in geolocation services reflect the challenges in dealing with VPNs and the various ways these location services have responded. There is also the issue of cloud-based services. Where the cloud service uses anycast</w:t>
      </w:r>
      <w:r w:rsidR="004A24C1">
        <w:t>, then</w:t>
      </w:r>
      <w:r w:rsidR="00527AC6">
        <w:t xml:space="preserve"> the address </w:t>
      </w:r>
      <w:proofErr w:type="gramStart"/>
      <w:r w:rsidR="00527AC6">
        <w:t>is located in</w:t>
      </w:r>
      <w:proofErr w:type="gramEnd"/>
      <w:r w:rsidR="00527AC6">
        <w:t xml:space="preserve"> many locations at once. In the case where the cloud uses conventional unicast, the addresses use may be fluid across the cloud service’s points of presence based on distributing addresses to meet the demands for the service. The bottom line is that these location listings are a “fuzzy” approximation rather than a precise indication of location.</w:t>
      </w:r>
    </w:p>
    <w:p w14:paraId="417ADBB4" w14:textId="214B69BA" w:rsidR="00527AC6" w:rsidRDefault="00527AC6" w:rsidP="001B47E9"/>
    <w:p w14:paraId="688B537A" w14:textId="0B294623" w:rsidR="00E73EC2" w:rsidRDefault="00527AC6" w:rsidP="00E73EC2">
      <w:r>
        <w:t>With that in mind let’s now look at imports and exports of addresses of 202</w:t>
      </w:r>
      <w:r w:rsidR="00D07218">
        <w:t>4</w:t>
      </w:r>
      <w:r>
        <w:t xml:space="preserve"> transfers where the source and destination </w:t>
      </w:r>
      <w:r w:rsidR="002531E6">
        <w:t>of the transfers are in</w:t>
      </w:r>
      <w:r>
        <w:t xml:space="preserve"> different economies.</w:t>
      </w:r>
      <w:r w:rsidR="00E73EC2">
        <w:t xml:space="preserve"> Some 1,928 transfers appear to result in a movement of addresses between countries, involving a total of 11,467,008 addresses, as shown in Table 8.</w:t>
      </w:r>
    </w:p>
    <w:p w14:paraId="6523B62C" w14:textId="440E5DC4" w:rsidR="00527AC6" w:rsidRDefault="00527AC6" w:rsidP="001B47E9"/>
    <w:p w14:paraId="67D87DB3" w14:textId="08EDD7D5" w:rsidR="001B47E9" w:rsidRPr="0016227C" w:rsidRDefault="00527AC6" w:rsidP="0016227C">
      <w:r>
        <w:t xml:space="preserve"> </w:t>
      </w:r>
    </w:p>
    <w:p w14:paraId="0B5CF007" w14:textId="4E446D20" w:rsidR="009774EB" w:rsidRDefault="001F0064" w:rsidP="0080600A">
      <w:pPr>
        <w:ind w:left="720"/>
        <w:rPr>
          <w:i/>
          <w:sz w:val="21"/>
          <w:szCs w:val="21"/>
        </w:rPr>
      </w:pPr>
      <w:r w:rsidRPr="001F0064">
        <w:rPr>
          <w:i/>
          <w:noProof/>
          <w:sz w:val="21"/>
          <w:szCs w:val="21"/>
        </w:rPr>
        <w:lastRenderedPageBreak/>
        <w:drawing>
          <wp:inline distT="0" distB="0" distL="0" distR="0" wp14:anchorId="321B5638" wp14:editId="046B9CAD">
            <wp:extent cx="3619500" cy="3577043"/>
            <wp:effectExtent l="0" t="0" r="0" b="4445"/>
            <wp:docPr id="184756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68923" name=""/>
                    <pic:cNvPicPr/>
                  </pic:nvPicPr>
                  <pic:blipFill>
                    <a:blip r:embed="rId37"/>
                    <a:stretch>
                      <a:fillRect/>
                    </a:stretch>
                  </pic:blipFill>
                  <pic:spPr>
                    <a:xfrm>
                      <a:off x="0" y="0"/>
                      <a:ext cx="3629868" cy="3587289"/>
                    </a:xfrm>
                    <a:prstGeom prst="rect">
                      <a:avLst/>
                    </a:prstGeom>
                  </pic:spPr>
                </pic:pic>
              </a:graphicData>
            </a:graphic>
          </wp:inline>
        </w:drawing>
      </w:r>
    </w:p>
    <w:p w14:paraId="2D1AAC2A" w14:textId="63F5EC79" w:rsidR="0080600A" w:rsidRPr="00986DB8" w:rsidRDefault="0080600A" w:rsidP="0080600A">
      <w:pPr>
        <w:ind w:left="720"/>
        <w:rPr>
          <w:i/>
          <w:sz w:val="21"/>
          <w:szCs w:val="21"/>
        </w:rPr>
      </w:pPr>
      <w:r>
        <w:rPr>
          <w:i/>
          <w:sz w:val="21"/>
          <w:szCs w:val="21"/>
        </w:rPr>
        <w:t>Table 8 – Top 2</w:t>
      </w:r>
      <w:r w:rsidRPr="00986DB8">
        <w:rPr>
          <w:i/>
          <w:sz w:val="21"/>
          <w:szCs w:val="21"/>
        </w:rPr>
        <w:t xml:space="preserve">0 </w:t>
      </w:r>
      <w:r w:rsidR="0082715F">
        <w:rPr>
          <w:i/>
          <w:sz w:val="21"/>
          <w:szCs w:val="21"/>
        </w:rPr>
        <w:t>Economy</w:t>
      </w:r>
      <w:r w:rsidRPr="00986DB8">
        <w:rPr>
          <w:i/>
          <w:sz w:val="21"/>
          <w:szCs w:val="21"/>
        </w:rPr>
        <w:t>-to-</w:t>
      </w:r>
      <w:r w:rsidR="0082715F">
        <w:rPr>
          <w:i/>
          <w:sz w:val="21"/>
          <w:szCs w:val="21"/>
        </w:rPr>
        <w:t>Economy</w:t>
      </w:r>
      <w:r w:rsidRPr="00986DB8">
        <w:rPr>
          <w:i/>
          <w:sz w:val="21"/>
          <w:szCs w:val="21"/>
        </w:rPr>
        <w:t xml:space="preserve"> IPv4 address transfers</w:t>
      </w:r>
      <w:r>
        <w:rPr>
          <w:i/>
          <w:sz w:val="21"/>
          <w:szCs w:val="21"/>
        </w:rPr>
        <w:t xml:space="preserve"> in 20</w:t>
      </w:r>
      <w:r w:rsidR="009774EB">
        <w:rPr>
          <w:i/>
          <w:sz w:val="21"/>
          <w:szCs w:val="21"/>
        </w:rPr>
        <w:t>2</w:t>
      </w:r>
      <w:r w:rsidR="001F0064">
        <w:rPr>
          <w:i/>
          <w:sz w:val="21"/>
          <w:szCs w:val="21"/>
        </w:rPr>
        <w:t>4</w:t>
      </w:r>
    </w:p>
    <w:p w14:paraId="0255B558" w14:textId="77777777" w:rsidR="0080600A" w:rsidRDefault="0080600A" w:rsidP="0080600A"/>
    <w:p w14:paraId="077CF453" w14:textId="3D18D358" w:rsidR="00E73EC2" w:rsidRDefault="00A76CD0" w:rsidP="00E73EC2">
      <w:r>
        <w:t xml:space="preserve">The </w:t>
      </w:r>
      <w:r w:rsidR="000630EA">
        <w:t>20</w:t>
      </w:r>
      <w:r w:rsidR="009774EB">
        <w:t>2</w:t>
      </w:r>
      <w:r w:rsidR="00E73EC2">
        <w:t>4</w:t>
      </w:r>
      <w:r w:rsidR="000630EA">
        <w:t xml:space="preserve"> </w:t>
      </w:r>
      <w:r>
        <w:t xml:space="preserve">transfer logs </w:t>
      </w:r>
      <w:r w:rsidR="001F0064">
        <w:t xml:space="preserve">also </w:t>
      </w:r>
      <w:r>
        <w:t xml:space="preserve">contain </w:t>
      </w:r>
      <w:r w:rsidR="00E73EC2">
        <w:t>4,257</w:t>
      </w:r>
      <w:r>
        <w:t xml:space="preserve"> domestic address transfers, with a total of </w:t>
      </w:r>
      <w:r w:rsidR="00E73EC2" w:rsidRPr="00E73EC2">
        <w:t>18</w:t>
      </w:r>
      <w:r w:rsidR="00E73EC2">
        <w:t>,</w:t>
      </w:r>
      <w:r w:rsidR="00E73EC2" w:rsidRPr="00E73EC2">
        <w:t>719</w:t>
      </w:r>
      <w:r w:rsidR="00E73EC2">
        <w:t>,</w:t>
      </w:r>
      <w:r w:rsidR="00E73EC2" w:rsidRPr="00E73EC2">
        <w:t>040</w:t>
      </w:r>
      <w:r w:rsidR="00E73EC2">
        <w:t xml:space="preserve"> </w:t>
      </w:r>
      <w:r>
        <w:t>addresses</w:t>
      </w:r>
      <w:r w:rsidR="0082715F">
        <w:t xml:space="preserve">, with the largest activity </w:t>
      </w:r>
      <w:r w:rsidR="00CE4EC4">
        <w:t xml:space="preserve">by address volume </w:t>
      </w:r>
      <w:r w:rsidR="0082715F">
        <w:t xml:space="preserve">in domestic transfers in </w:t>
      </w:r>
      <w:r w:rsidR="003109B0">
        <w:t xml:space="preserve">the </w:t>
      </w:r>
      <w:r w:rsidR="00E73EC2">
        <w:t xml:space="preserve">USA (29M), UK (20M), Poland (2M), Romania (1.5M) and Germany (1.2M). </w:t>
      </w:r>
    </w:p>
    <w:p w14:paraId="0FBBF021" w14:textId="77777777" w:rsidR="00407DCE" w:rsidRDefault="00407DCE" w:rsidP="001B1620"/>
    <w:p w14:paraId="73CCA2FB" w14:textId="55B6DEE3" w:rsidR="00F96098" w:rsidRDefault="00710DBA" w:rsidP="00460632">
      <w:r>
        <w:t>An</w:t>
      </w:r>
      <w:r w:rsidR="00235966">
        <w:t xml:space="preserve"> </w:t>
      </w:r>
      <w:r w:rsidR="0033146A">
        <w:t>outstan</w:t>
      </w:r>
      <w:r w:rsidR="00597390">
        <w:t>ding question about this transfe</w:t>
      </w:r>
      <w:r w:rsidR="0033146A">
        <w:t xml:space="preserve">r data </w:t>
      </w:r>
      <w:r w:rsidR="005A62F4">
        <w:t xml:space="preserve">is whether all </w:t>
      </w:r>
      <w:r w:rsidR="00235966">
        <w:t xml:space="preserve">address transfers </w:t>
      </w:r>
      <w:r w:rsidR="003B6127">
        <w:t xml:space="preserve">that </w:t>
      </w:r>
      <w:r w:rsidR="00597390">
        <w:t xml:space="preserve">have </w:t>
      </w:r>
      <w:r w:rsidR="003B6127">
        <w:t>occur</w:t>
      </w:r>
      <w:r w:rsidR="00597390">
        <w:t>red</w:t>
      </w:r>
      <w:r w:rsidR="003B6127">
        <w:t xml:space="preserve"> </w:t>
      </w:r>
      <w:r w:rsidR="00597390">
        <w:t>have been</w:t>
      </w:r>
      <w:r w:rsidR="00235966">
        <w:t xml:space="preserve"> duly recorded in the regist</w:t>
      </w:r>
      <w:r w:rsidR="005A62F4">
        <w:t>ry system</w:t>
      </w:r>
      <w:r w:rsidR="00235966">
        <w:t xml:space="preserve">. This question is raised because </w:t>
      </w:r>
      <w:r w:rsidR="003B6127">
        <w:t xml:space="preserve">registered transfers require conformance to </w:t>
      </w:r>
      <w:r w:rsidR="00597390">
        <w:t xml:space="preserve">various </w:t>
      </w:r>
      <w:r w:rsidR="003B6127">
        <w:t xml:space="preserve">registry policies, and it may be the case that only a subset of transfers are being recorded in the registry as a result. </w:t>
      </w:r>
      <w:r w:rsidR="00F96098">
        <w:t xml:space="preserve">This can be somewhat challenging to detect, particularly if such a transfer is expressed as a lease or other form of temporary arrangement, and if the parties agree to keep the details of the transfer confidential. </w:t>
      </w:r>
    </w:p>
    <w:p w14:paraId="5E149712" w14:textId="77777777" w:rsidR="00F96098" w:rsidRDefault="00F96098" w:rsidP="00235966"/>
    <w:p w14:paraId="583C6275" w14:textId="5781E944" w:rsidR="00597390" w:rsidRDefault="00A81ED0" w:rsidP="00235966">
      <w:r>
        <w:t>I</w:t>
      </w:r>
      <w:r w:rsidR="00F96098">
        <w:t xml:space="preserve">t might be possible to place an upper bound on the volume of address movements that have occurred in any period is to look at the Internet’s routing system. </w:t>
      </w:r>
      <w:r w:rsidR="003B6127">
        <w:t>One way to sh</w:t>
      </w:r>
      <w:r w:rsidR="00F96098">
        <w:t>ed some further light on what this upper bound on transfers might be is</w:t>
      </w:r>
      <w:r w:rsidR="003B6127">
        <w:t xml:space="preserve"> through a </w:t>
      </w:r>
      <w:r w:rsidR="00235966">
        <w:t xml:space="preserve">simple examination of the routing system, looking at </w:t>
      </w:r>
      <w:r w:rsidR="00F96098">
        <w:t>addre</w:t>
      </w:r>
      <w:r>
        <w:t>sses that were announced in 20</w:t>
      </w:r>
      <w:r w:rsidR="00CC5630">
        <w:t>2</w:t>
      </w:r>
      <w:r w:rsidR="001F0064">
        <w:t>4</w:t>
      </w:r>
      <w:r w:rsidR="00CC5630">
        <w:t xml:space="preserve"> </w:t>
      </w:r>
      <w:r w:rsidR="006373DD">
        <w:t xml:space="preserve">by comparing the routing stable state at the start of the year with the table state </w:t>
      </w:r>
      <w:r>
        <w:t>at the end of the year (Table 9).</w:t>
      </w:r>
    </w:p>
    <w:p w14:paraId="57ECEE6E" w14:textId="1D3EC175" w:rsidR="00A81ED0" w:rsidRDefault="00A81ED0" w:rsidP="00A81ED0"/>
    <w:p w14:paraId="3F48D19C" w14:textId="3A2C34A9" w:rsidR="00CC5630" w:rsidRDefault="00695EB2" w:rsidP="003B04F0">
      <w:pPr>
        <w:ind w:left="720"/>
        <w:jc w:val="left"/>
        <w:rPr>
          <w:i/>
          <w:sz w:val="18"/>
        </w:rPr>
      </w:pPr>
      <w:r w:rsidRPr="00695EB2">
        <w:rPr>
          <w:i/>
          <w:sz w:val="18"/>
        </w:rPr>
        <w:drawing>
          <wp:inline distT="0" distB="0" distL="0" distR="0" wp14:anchorId="4CED1D85" wp14:editId="5D9B31B5">
            <wp:extent cx="5524500" cy="1539427"/>
            <wp:effectExtent l="0" t="0" r="0" b="0"/>
            <wp:docPr id="863589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89051" name=""/>
                    <pic:cNvPicPr/>
                  </pic:nvPicPr>
                  <pic:blipFill>
                    <a:blip r:embed="rId38"/>
                    <a:stretch>
                      <a:fillRect/>
                    </a:stretch>
                  </pic:blipFill>
                  <pic:spPr>
                    <a:xfrm>
                      <a:off x="0" y="0"/>
                      <a:ext cx="5589772" cy="1557615"/>
                    </a:xfrm>
                    <a:prstGeom prst="rect">
                      <a:avLst/>
                    </a:prstGeom>
                  </pic:spPr>
                </pic:pic>
              </a:graphicData>
            </a:graphic>
          </wp:inline>
        </w:drawing>
      </w:r>
    </w:p>
    <w:p w14:paraId="6C4D34BA" w14:textId="0A52C5D7" w:rsidR="00A81ED0" w:rsidRPr="00E45B46" w:rsidRDefault="00A81ED0" w:rsidP="00E45B46">
      <w:pPr>
        <w:ind w:left="720"/>
        <w:jc w:val="left"/>
        <w:rPr>
          <w:i/>
          <w:sz w:val="18"/>
        </w:rPr>
      </w:pPr>
      <w:r>
        <w:rPr>
          <w:i/>
          <w:sz w:val="18"/>
        </w:rPr>
        <w:t>Table 9</w:t>
      </w:r>
      <w:r w:rsidRPr="001C0364">
        <w:rPr>
          <w:i/>
          <w:sz w:val="18"/>
        </w:rPr>
        <w:t xml:space="preserve"> – IPv4 </w:t>
      </w:r>
      <w:r>
        <w:rPr>
          <w:i/>
          <w:sz w:val="18"/>
        </w:rPr>
        <w:t>BGP changes over 20</w:t>
      </w:r>
      <w:r w:rsidR="006D0287">
        <w:rPr>
          <w:i/>
          <w:sz w:val="18"/>
        </w:rPr>
        <w:t>2</w:t>
      </w:r>
      <w:r w:rsidR="001F0064">
        <w:rPr>
          <w:i/>
          <w:sz w:val="18"/>
        </w:rPr>
        <w:t>4</w:t>
      </w:r>
    </w:p>
    <w:p w14:paraId="6D6BB433" w14:textId="77777777" w:rsidR="00A81ED0" w:rsidRDefault="00A81ED0" w:rsidP="00235966"/>
    <w:p w14:paraId="1169A5BB" w14:textId="1157F62D" w:rsidR="00237364" w:rsidRDefault="00C51339" w:rsidP="00BF1BC9">
      <w:r>
        <w:t>Whi</w:t>
      </w:r>
      <w:r w:rsidR="00A81ED0">
        <w:t xml:space="preserve">le </w:t>
      </w:r>
      <w:r w:rsidR="0045423C">
        <w:t xml:space="preserve">the routing table grew by </w:t>
      </w:r>
      <w:r w:rsidR="00237364">
        <w:t>51,789</w:t>
      </w:r>
      <w:r>
        <w:t xml:space="preserve"> entries over the year, the nature of the change is slightly more involved. </w:t>
      </w:r>
      <w:r w:rsidR="00BF1BC9">
        <w:t xml:space="preserve">Some </w:t>
      </w:r>
      <w:r w:rsidR="00237364">
        <w:t>81,879</w:t>
      </w:r>
      <w:r>
        <w:t xml:space="preserve"> </w:t>
      </w:r>
      <w:r w:rsidR="00BF1BC9">
        <w:t>prefixes</w:t>
      </w:r>
      <w:r>
        <w:t xml:space="preserve"> that were announced at the start of the year</w:t>
      </w:r>
      <w:r w:rsidR="00BF1BC9">
        <w:t xml:space="preserve"> were removed from the routing system </w:t>
      </w:r>
      <w:r w:rsidR="00027F91">
        <w:t xml:space="preserve">at some time </w:t>
      </w:r>
      <w:r w:rsidR="00BF1BC9">
        <w:t>through the year, and 1</w:t>
      </w:r>
      <w:r w:rsidR="00237364">
        <w:t>33,128</w:t>
      </w:r>
      <w:r>
        <w:t xml:space="preserve"> prefixes were announced by</w:t>
      </w:r>
      <w:r w:rsidR="00BF1BC9">
        <w:t xml:space="preserve"> the end of the year that were not announced at the start of the year.</w:t>
      </w:r>
      <w:r>
        <w:t xml:space="preserve"> </w:t>
      </w:r>
      <w:r w:rsidR="00027F91">
        <w:t xml:space="preserve">More transient prefixes may have appeared and </w:t>
      </w:r>
      <w:r w:rsidR="00027F91">
        <w:lastRenderedPageBreak/>
        <w:t xml:space="preserve">been withdrawn throughout the year of course, but here we are comparing two snapshots rather than looking at every update message.  </w:t>
      </w:r>
      <w:r w:rsidR="0045423C">
        <w:t xml:space="preserve">A further </w:t>
      </w:r>
      <w:r w:rsidR="00866F1D">
        <w:t>2</w:t>
      </w:r>
      <w:r w:rsidR="00237364">
        <w:t>4,561</w:t>
      </w:r>
      <w:r w:rsidR="00BF1BC9">
        <w:t xml:space="preserve"> prefixes </w:t>
      </w:r>
      <w:r>
        <w:t xml:space="preserve">had </w:t>
      </w:r>
      <w:r w:rsidR="00BF1BC9">
        <w:t>changed their originating A</w:t>
      </w:r>
      <w:r w:rsidR="00237364">
        <w:t xml:space="preserve">S </w:t>
      </w:r>
      <w:r w:rsidR="00BF1BC9">
        <w:t>number, indicating some form of change in the prefix’s network location in some manner.</w:t>
      </w:r>
    </w:p>
    <w:p w14:paraId="6D6D747B" w14:textId="77777777" w:rsidR="00D64149" w:rsidRDefault="00D64149" w:rsidP="00BF1BC9"/>
    <w:p w14:paraId="066A134E" w14:textId="14C099D7" w:rsidR="00C45DAD" w:rsidRPr="005123E1" w:rsidRDefault="00C45DAD" w:rsidP="00BF1BC9">
      <w:pPr>
        <w:rPr>
          <w:color w:val="000000" w:themeColor="text1"/>
        </w:rPr>
      </w:pPr>
      <w:r w:rsidRPr="005123E1">
        <w:rPr>
          <w:color w:val="000000" w:themeColor="text1"/>
        </w:rPr>
        <w:t xml:space="preserve">If we look at the </w:t>
      </w:r>
      <w:r w:rsidR="00512E30" w:rsidRPr="005123E1">
        <w:rPr>
          <w:color w:val="000000" w:themeColor="text1"/>
        </w:rPr>
        <w:t>complete collection of BGP</w:t>
      </w:r>
      <w:r w:rsidRPr="005123E1">
        <w:rPr>
          <w:color w:val="000000" w:themeColor="text1"/>
        </w:rPr>
        <w:t xml:space="preserve"> updates </w:t>
      </w:r>
      <w:r w:rsidR="0079496F" w:rsidRPr="005123E1">
        <w:rPr>
          <w:color w:val="000000" w:themeColor="text1"/>
        </w:rPr>
        <w:t xml:space="preserve">seen from an individual BGP vantage point (AS 131072) across all of </w:t>
      </w:r>
      <w:r w:rsidRPr="005123E1">
        <w:rPr>
          <w:color w:val="000000" w:themeColor="text1"/>
        </w:rPr>
        <w:t>202</w:t>
      </w:r>
      <w:r w:rsidR="00237364" w:rsidRPr="005123E1">
        <w:rPr>
          <w:color w:val="000000" w:themeColor="text1"/>
        </w:rPr>
        <w:t>4</w:t>
      </w:r>
      <w:r w:rsidRPr="005123E1">
        <w:rPr>
          <w:color w:val="000000" w:themeColor="text1"/>
        </w:rPr>
        <w:t xml:space="preserve"> we see a larger collection of transient address prefixes.</w:t>
      </w:r>
      <w:r w:rsidR="002B7162" w:rsidRPr="005123E1">
        <w:rPr>
          <w:color w:val="000000" w:themeColor="text1"/>
        </w:rPr>
        <w:t xml:space="preserve"> A total of </w:t>
      </w:r>
      <w:r w:rsidR="00361AAD" w:rsidRPr="00361AAD">
        <w:rPr>
          <w:color w:val="000000" w:themeColor="text1"/>
        </w:rPr>
        <w:t>1</w:t>
      </w:r>
      <w:r w:rsidR="00361AAD">
        <w:rPr>
          <w:color w:val="000000" w:themeColor="text1"/>
        </w:rPr>
        <w:t>,</w:t>
      </w:r>
      <w:r w:rsidR="00361AAD" w:rsidRPr="00361AAD">
        <w:rPr>
          <w:color w:val="000000" w:themeColor="text1"/>
        </w:rPr>
        <w:t>195</w:t>
      </w:r>
      <w:r w:rsidR="00361AAD">
        <w:rPr>
          <w:color w:val="000000" w:themeColor="text1"/>
        </w:rPr>
        <w:t>,</w:t>
      </w:r>
      <w:r w:rsidR="00361AAD" w:rsidRPr="00361AAD">
        <w:rPr>
          <w:color w:val="000000" w:themeColor="text1"/>
        </w:rPr>
        <w:t>855</w:t>
      </w:r>
      <w:r w:rsidR="0020701D">
        <w:rPr>
          <w:color w:val="000000" w:themeColor="text1"/>
        </w:rPr>
        <w:t xml:space="preserve"> </w:t>
      </w:r>
      <w:r w:rsidR="002B7162" w:rsidRPr="005123E1">
        <w:rPr>
          <w:color w:val="000000" w:themeColor="text1"/>
        </w:rPr>
        <w:t>distinct prefixes were observed through 202</w:t>
      </w:r>
      <w:r w:rsidR="0020701D">
        <w:rPr>
          <w:color w:val="000000" w:themeColor="text1"/>
        </w:rPr>
        <w:t>4</w:t>
      </w:r>
      <w:r w:rsidR="00F77D5A" w:rsidRPr="005123E1">
        <w:rPr>
          <w:color w:val="000000" w:themeColor="text1"/>
        </w:rPr>
        <w:t xml:space="preserve">. That implies that some </w:t>
      </w:r>
      <w:r w:rsidR="00361AAD">
        <w:rPr>
          <w:color w:val="000000" w:themeColor="text1"/>
        </w:rPr>
        <w:t>249,168</w:t>
      </w:r>
      <w:r w:rsidR="00932866" w:rsidRPr="005123E1">
        <w:rPr>
          <w:color w:val="000000" w:themeColor="text1"/>
        </w:rPr>
        <w:t xml:space="preserve"> additional prefixes </w:t>
      </w:r>
      <w:r w:rsidR="00D65EE2" w:rsidRPr="005123E1">
        <w:rPr>
          <w:color w:val="000000" w:themeColor="text1"/>
        </w:rPr>
        <w:t xml:space="preserve">were </w:t>
      </w:r>
      <w:r w:rsidR="0079496F" w:rsidRPr="005123E1">
        <w:rPr>
          <w:color w:val="000000" w:themeColor="text1"/>
        </w:rPr>
        <w:t xml:space="preserve">seen at some point through the year, </w:t>
      </w:r>
      <w:r w:rsidR="00932866" w:rsidRPr="005123E1">
        <w:rPr>
          <w:color w:val="000000" w:themeColor="text1"/>
        </w:rPr>
        <w:t xml:space="preserve">from the initial set at the start of the year. </w:t>
      </w:r>
    </w:p>
    <w:p w14:paraId="19CD2AEF" w14:textId="77777777" w:rsidR="00C45DAD" w:rsidRDefault="00C45DAD" w:rsidP="00235966"/>
    <w:p w14:paraId="472DBA2B" w14:textId="0EDFEC67" w:rsidR="00F63712" w:rsidRDefault="00BF1BC9" w:rsidP="00235966">
      <w:r>
        <w:t xml:space="preserve">We can compare these prefixes </w:t>
      </w:r>
      <w:r w:rsidR="00932866">
        <w:t>that change</w:t>
      </w:r>
      <w:r w:rsidR="00027F91">
        <w:t>d</w:t>
      </w:r>
      <w:r w:rsidR="00932866">
        <w:t xml:space="preserve"> in 202</w:t>
      </w:r>
      <w:r w:rsidR="002D374D">
        <w:t>4</w:t>
      </w:r>
      <w:r w:rsidR="00932866">
        <w:t xml:space="preserve"> </w:t>
      </w:r>
      <w:r>
        <w:t>ag</w:t>
      </w:r>
      <w:r w:rsidR="00F527AC">
        <w:t xml:space="preserve">ainst the transfer logs for </w:t>
      </w:r>
      <w:r w:rsidR="0006532B">
        <w:t>the two</w:t>
      </w:r>
      <w:r w:rsidR="00281333">
        <w:t>-</w:t>
      </w:r>
      <w:r w:rsidR="0006532B">
        <w:t xml:space="preserve">year period </w:t>
      </w:r>
      <w:r w:rsidR="00F527AC">
        <w:t>20</w:t>
      </w:r>
      <w:r w:rsidR="00E90FFF">
        <w:t>2</w:t>
      </w:r>
      <w:r w:rsidR="002D374D">
        <w:t>3</w:t>
      </w:r>
      <w:r w:rsidR="00F527AC">
        <w:t xml:space="preserve"> and 20</w:t>
      </w:r>
      <w:r w:rsidR="00932866">
        <w:t>2</w:t>
      </w:r>
      <w:r w:rsidR="002D374D">
        <w:t>4</w:t>
      </w:r>
      <w:r>
        <w:t>. Table 10 shows the comparison of these routing numbers against the set of transfers</w:t>
      </w:r>
      <w:r w:rsidR="00D4274E">
        <w:t xml:space="preserve"> that were</w:t>
      </w:r>
      <w:r>
        <w:t xml:space="preserve"> </w:t>
      </w:r>
      <w:r w:rsidR="00F527AC">
        <w:t>logged in these two years</w:t>
      </w:r>
      <w:r>
        <w:t>.</w:t>
      </w:r>
    </w:p>
    <w:p w14:paraId="2263DA61" w14:textId="77777777" w:rsidR="00E90FFF" w:rsidRDefault="00E90FFF" w:rsidP="00235966"/>
    <w:p w14:paraId="0C83D498" w14:textId="578E9B67" w:rsidR="00EE0E6A" w:rsidRDefault="00886E8F" w:rsidP="00ED373E">
      <w:pPr>
        <w:ind w:left="720"/>
        <w:rPr>
          <w:sz w:val="21"/>
          <w:szCs w:val="21"/>
        </w:rPr>
      </w:pPr>
      <w:r w:rsidRPr="00886E8F">
        <w:rPr>
          <w:sz w:val="21"/>
          <w:szCs w:val="21"/>
        </w:rPr>
        <w:drawing>
          <wp:inline distT="0" distB="0" distL="0" distR="0" wp14:anchorId="14ECA54C" wp14:editId="017CA417">
            <wp:extent cx="1873250" cy="1713447"/>
            <wp:effectExtent l="0" t="0" r="0" b="1270"/>
            <wp:docPr id="211566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65413" name=""/>
                    <pic:cNvPicPr/>
                  </pic:nvPicPr>
                  <pic:blipFill>
                    <a:blip r:embed="rId39"/>
                    <a:stretch>
                      <a:fillRect/>
                    </a:stretch>
                  </pic:blipFill>
                  <pic:spPr>
                    <a:xfrm>
                      <a:off x="0" y="0"/>
                      <a:ext cx="1885944" cy="1725058"/>
                    </a:xfrm>
                    <a:prstGeom prst="rect">
                      <a:avLst/>
                    </a:prstGeom>
                  </pic:spPr>
                </pic:pic>
              </a:graphicData>
            </a:graphic>
          </wp:inline>
        </w:drawing>
      </w:r>
    </w:p>
    <w:p w14:paraId="10BF4BBB" w14:textId="77777777" w:rsidR="00ED373E" w:rsidRPr="00ED373E" w:rsidRDefault="00ED373E" w:rsidP="00ED373E">
      <w:pPr>
        <w:ind w:left="720"/>
        <w:rPr>
          <w:sz w:val="21"/>
          <w:szCs w:val="21"/>
        </w:rPr>
      </w:pPr>
    </w:p>
    <w:p w14:paraId="1B922531" w14:textId="56ADB025" w:rsidR="00D4274E" w:rsidRPr="00986DB8" w:rsidRDefault="00D4274E" w:rsidP="00D4274E">
      <w:pPr>
        <w:ind w:left="720"/>
        <w:rPr>
          <w:i/>
          <w:sz w:val="21"/>
          <w:szCs w:val="21"/>
        </w:rPr>
      </w:pPr>
      <w:r w:rsidRPr="00986DB8">
        <w:rPr>
          <w:i/>
          <w:sz w:val="21"/>
          <w:szCs w:val="21"/>
        </w:rPr>
        <w:t xml:space="preserve">Table </w:t>
      </w:r>
      <w:r w:rsidR="0006532B">
        <w:rPr>
          <w:i/>
          <w:sz w:val="21"/>
          <w:szCs w:val="21"/>
        </w:rPr>
        <w:t>10 – Routing changes across 20</w:t>
      </w:r>
      <w:r w:rsidR="00EE0E6A">
        <w:rPr>
          <w:i/>
          <w:sz w:val="21"/>
          <w:szCs w:val="21"/>
        </w:rPr>
        <w:t>2</w:t>
      </w:r>
      <w:r w:rsidR="007E1B89">
        <w:rPr>
          <w:i/>
          <w:sz w:val="21"/>
          <w:szCs w:val="21"/>
        </w:rPr>
        <w:t>4</w:t>
      </w:r>
      <w:r w:rsidRPr="00986DB8">
        <w:rPr>
          <w:i/>
          <w:sz w:val="21"/>
          <w:szCs w:val="21"/>
        </w:rPr>
        <w:t xml:space="preserve"> compared to the Transfer Log</w:t>
      </w:r>
      <w:r w:rsidR="00EE0E6A">
        <w:rPr>
          <w:i/>
          <w:sz w:val="21"/>
          <w:szCs w:val="21"/>
        </w:rPr>
        <w:t xml:space="preserve"> Entries for 20</w:t>
      </w:r>
      <w:r w:rsidR="00815DB3">
        <w:rPr>
          <w:i/>
          <w:sz w:val="21"/>
          <w:szCs w:val="21"/>
        </w:rPr>
        <w:t>2</w:t>
      </w:r>
      <w:r w:rsidR="002B6198">
        <w:rPr>
          <w:i/>
          <w:sz w:val="21"/>
          <w:szCs w:val="21"/>
        </w:rPr>
        <w:t>3</w:t>
      </w:r>
      <w:r w:rsidR="00EE0E6A">
        <w:rPr>
          <w:i/>
          <w:sz w:val="21"/>
          <w:szCs w:val="21"/>
        </w:rPr>
        <w:t xml:space="preserve"> - 202</w:t>
      </w:r>
      <w:r w:rsidR="002B6198">
        <w:rPr>
          <w:i/>
          <w:sz w:val="21"/>
          <w:szCs w:val="21"/>
        </w:rPr>
        <w:t>4</w:t>
      </w:r>
    </w:p>
    <w:p w14:paraId="23FC195B" w14:textId="77777777" w:rsidR="00BF1BC9" w:rsidRDefault="00BF1BC9" w:rsidP="00235966"/>
    <w:p w14:paraId="665C1017" w14:textId="63BC507E" w:rsidR="00BF1BC9" w:rsidRDefault="0006532B" w:rsidP="008F04F4">
      <w:r>
        <w:t xml:space="preserve">These figures show that </w:t>
      </w:r>
      <w:r w:rsidR="00194643">
        <w:t xml:space="preserve">some </w:t>
      </w:r>
      <w:r w:rsidR="002B6198">
        <w:t>1</w:t>
      </w:r>
      <w:r w:rsidR="003F24F5">
        <w:t>%</w:t>
      </w:r>
      <w:r w:rsidR="002B6198">
        <w:t xml:space="preserve"> </w:t>
      </w:r>
      <w:r w:rsidR="00D4274E">
        <w:t>-</w:t>
      </w:r>
      <w:r w:rsidR="002B6198">
        <w:t xml:space="preserve"> 4</w:t>
      </w:r>
      <w:r w:rsidR="00D4274E">
        <w:t xml:space="preserve">% of changes in advertised addresses </w:t>
      </w:r>
      <w:r w:rsidR="00EE0E6A">
        <w:t xml:space="preserve">from the beginning to the end of the year </w:t>
      </w:r>
      <w:r w:rsidR="00D4274E">
        <w:t>are reflected as chan</w:t>
      </w:r>
      <w:r w:rsidR="00194643">
        <w:t>ges as recorded in the RIRs’ transfer logs</w:t>
      </w:r>
      <w:r w:rsidR="00D4274E">
        <w:t>. This shouldn</w:t>
      </w:r>
      <w:r w:rsidR="00011F2B">
        <w:t>’</w:t>
      </w:r>
      <w:r w:rsidR="00D4274E">
        <w:t>t imply tha</w:t>
      </w:r>
      <w:r>
        <w:t xml:space="preserve">t the remaining </w:t>
      </w:r>
      <w:r w:rsidR="00F36908">
        <w:t>c</w:t>
      </w:r>
      <w:r w:rsidR="00D4274E">
        <w:t xml:space="preserve">hanges in advertised prefixes reflect unrecorded address transfers. There are many reasons for changes in the advertisement of an address prefix and a change in the </w:t>
      </w:r>
      <w:r w:rsidR="00194643">
        <w:t xml:space="preserve">administrative </w:t>
      </w:r>
      <w:r w:rsidR="00D4274E">
        <w:t>controller of the address is only one potential cause. However, it does establish some notional upper ceiling on the number o</w:t>
      </w:r>
      <w:r>
        <w:t>f movements of addresses in 20</w:t>
      </w:r>
      <w:r w:rsidR="00EE0E6A">
        <w:t>2</w:t>
      </w:r>
      <w:r w:rsidR="002B6198">
        <w:t>4</w:t>
      </w:r>
      <w:r w:rsidR="00D4274E">
        <w:t>, some of which relate to transfer of operational control of an address block, that have not been captured in the transfer logs.</w:t>
      </w:r>
    </w:p>
    <w:p w14:paraId="3BE93DC1" w14:textId="77777777" w:rsidR="00D4274E" w:rsidRDefault="00D4274E" w:rsidP="00D4274E"/>
    <w:p w14:paraId="67281F3A" w14:textId="219A0F02" w:rsidR="00214BF4" w:rsidRDefault="00670FA0" w:rsidP="008F04F4">
      <w:r>
        <w:t xml:space="preserve">Finally, we can perform an age profile of the addresses that were </w:t>
      </w:r>
      <w:r w:rsidR="00F36908">
        <w:t>a</w:t>
      </w:r>
      <w:r>
        <w:t xml:space="preserve">dded, </w:t>
      </w:r>
      <w:r w:rsidR="00F36908">
        <w:t>r</w:t>
      </w:r>
      <w:r w:rsidR="00194643">
        <w:t xml:space="preserve">emoved and </w:t>
      </w:r>
      <w:r w:rsidR="00F36908">
        <w:t>r</w:t>
      </w:r>
      <w:r w:rsidR="00194643">
        <w:t>e-</w:t>
      </w:r>
      <w:r w:rsidR="00F36908">
        <w:t>h</w:t>
      </w:r>
      <w:r w:rsidR="00194643">
        <w:t>omed during 20</w:t>
      </w:r>
      <w:r w:rsidR="00D65EE2">
        <w:t>2</w:t>
      </w:r>
      <w:r w:rsidR="00473236">
        <w:t>4</w:t>
      </w:r>
      <w:r>
        <w:t xml:space="preserve"> and compare it to the overall age profile of IPv4 addresses</w:t>
      </w:r>
      <w:r w:rsidR="00F43DA6">
        <w:t xml:space="preserve"> in the routing table</w:t>
      </w:r>
      <w:r>
        <w:t>.</w:t>
      </w:r>
      <w:r w:rsidR="00214BF4">
        <w:t xml:space="preserve"> This is shown in Figure </w:t>
      </w:r>
      <w:r w:rsidR="00BB5F98">
        <w:t>1</w:t>
      </w:r>
      <w:r w:rsidR="00473236">
        <w:t>3</w:t>
      </w:r>
      <w:r w:rsidR="00214BF4">
        <w:t>.</w:t>
      </w:r>
      <w:r w:rsidR="00473236">
        <w:t xml:space="preserve"> This figure show that address prefixes added to the routing table tend to be “younger” than average. One half of all added address prefixes are 12 years old, while for all advertised address prefixes 50% of such prefixes are 17 years old or younger. Prefixes that are changing their originating network (“re-Homing”) tend to be older than average, and 50% of all rehomed prefixes are 22 years old or older.</w:t>
      </w:r>
    </w:p>
    <w:p w14:paraId="535AC68D" w14:textId="2CF771E4" w:rsidR="00451DBF" w:rsidRDefault="00451DBF" w:rsidP="00A4659A"/>
    <w:p w14:paraId="629BB621" w14:textId="5C33A850" w:rsidR="00431669" w:rsidRDefault="00473236" w:rsidP="005732C4">
      <w:pPr>
        <w:ind w:left="720"/>
      </w:pPr>
      <w:r>
        <w:rPr>
          <w:noProof/>
        </w:rPr>
        <w:lastRenderedPageBreak/>
        <w:drawing>
          <wp:inline distT="0" distB="0" distL="0" distR="0" wp14:anchorId="44CCE07A" wp14:editId="52CA8FF3">
            <wp:extent cx="5073650" cy="3567674"/>
            <wp:effectExtent l="0" t="0" r="0" b="1270"/>
            <wp:docPr id="11397101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10154" name="Picture 1139710154"/>
                    <pic:cNvPicPr/>
                  </pic:nvPicPr>
                  <pic:blipFill>
                    <a:blip r:embed="rId40"/>
                    <a:stretch>
                      <a:fillRect/>
                    </a:stretch>
                  </pic:blipFill>
                  <pic:spPr>
                    <a:xfrm>
                      <a:off x="0" y="0"/>
                      <a:ext cx="5087353" cy="3577310"/>
                    </a:xfrm>
                    <a:prstGeom prst="rect">
                      <a:avLst/>
                    </a:prstGeom>
                  </pic:spPr>
                </pic:pic>
              </a:graphicData>
            </a:graphic>
          </wp:inline>
        </w:drawing>
      </w:r>
    </w:p>
    <w:p w14:paraId="4093399E" w14:textId="0D556CE1" w:rsidR="00431669" w:rsidRPr="00893542" w:rsidRDefault="009F4666" w:rsidP="00431669">
      <w:pPr>
        <w:ind w:left="720"/>
        <w:rPr>
          <w:i/>
          <w:sz w:val="21"/>
          <w:szCs w:val="21"/>
        </w:rPr>
      </w:pPr>
      <w:r w:rsidRPr="00893542">
        <w:rPr>
          <w:i/>
          <w:sz w:val="21"/>
          <w:szCs w:val="21"/>
        </w:rPr>
        <w:t xml:space="preserve">Figure </w:t>
      </w:r>
      <w:r w:rsidR="00BB5F98">
        <w:rPr>
          <w:i/>
          <w:sz w:val="21"/>
          <w:szCs w:val="21"/>
        </w:rPr>
        <w:t>1</w:t>
      </w:r>
      <w:r w:rsidR="002B6198">
        <w:rPr>
          <w:i/>
          <w:sz w:val="21"/>
          <w:szCs w:val="21"/>
        </w:rPr>
        <w:t>3</w:t>
      </w:r>
      <w:r w:rsidR="00431669" w:rsidRPr="00893542">
        <w:rPr>
          <w:i/>
          <w:sz w:val="21"/>
          <w:szCs w:val="21"/>
        </w:rPr>
        <w:t xml:space="preserve"> – Change</w:t>
      </w:r>
      <w:r w:rsidR="00D8589F">
        <w:rPr>
          <w:i/>
          <w:sz w:val="21"/>
          <w:szCs w:val="21"/>
        </w:rPr>
        <w:t>s to the</w:t>
      </w:r>
      <w:r w:rsidR="00CC1FC0">
        <w:rPr>
          <w:i/>
          <w:sz w:val="21"/>
          <w:szCs w:val="21"/>
        </w:rPr>
        <w:t xml:space="preserve"> BGP routing table across 20</w:t>
      </w:r>
      <w:r w:rsidR="00D8589F">
        <w:rPr>
          <w:i/>
          <w:sz w:val="21"/>
          <w:szCs w:val="21"/>
        </w:rPr>
        <w:t>2</w:t>
      </w:r>
      <w:r w:rsidR="00473236">
        <w:rPr>
          <w:i/>
          <w:sz w:val="21"/>
          <w:szCs w:val="21"/>
        </w:rPr>
        <w:t>4</w:t>
      </w:r>
      <w:r w:rsidR="00D8589F">
        <w:rPr>
          <w:i/>
          <w:sz w:val="21"/>
          <w:szCs w:val="21"/>
        </w:rPr>
        <w:t xml:space="preserve"> by </w:t>
      </w:r>
      <w:r w:rsidR="002A5D46">
        <w:rPr>
          <w:i/>
          <w:sz w:val="21"/>
          <w:szCs w:val="21"/>
        </w:rPr>
        <w:t xml:space="preserve">Address </w:t>
      </w:r>
      <w:r w:rsidR="00D8589F">
        <w:rPr>
          <w:i/>
          <w:sz w:val="21"/>
          <w:szCs w:val="21"/>
        </w:rPr>
        <w:t>Prefix Age</w:t>
      </w:r>
    </w:p>
    <w:p w14:paraId="6AB1A8ED" w14:textId="77777777" w:rsidR="00F20841" w:rsidRDefault="00F20841" w:rsidP="00F20841"/>
    <w:p w14:paraId="334B2F7F" w14:textId="2BDD5FE8" w:rsidR="00F20841" w:rsidRDefault="00473236" w:rsidP="00F20841">
      <w:r>
        <w:t>A</w:t>
      </w:r>
      <w:r w:rsidR="00F20841">
        <w:t xml:space="preserve">s IPv4 moves into its final stages we are perhaps now </w:t>
      </w:r>
      <w:proofErr w:type="gramStart"/>
      <w:r w:rsidR="00F20841">
        <w:t>in a position</w:t>
      </w:r>
      <w:proofErr w:type="gramEnd"/>
      <w:r w:rsidR="00F20841">
        <w:t xml:space="preserve"> to take sto</w:t>
      </w:r>
      <w:r w:rsidR="004D2FFC">
        <w:t>c</w:t>
      </w:r>
      <w:r w:rsidR="00F20841">
        <w:t xml:space="preserve">k of the overall distribution of IPv4 addresses and look at where the addresses landed up. Table 11 shows the </w:t>
      </w:r>
      <w:r w:rsidR="007E505E">
        <w:t>20</w:t>
      </w:r>
      <w:r w:rsidR="00F20841">
        <w:t xml:space="preserve"> </w:t>
      </w:r>
      <w:r w:rsidR="007E505E">
        <w:t>economies</w:t>
      </w:r>
      <w:r w:rsidR="00F20841">
        <w:t xml:space="preserve"> that have the largest pools of allocated IPv4 addresses.</w:t>
      </w:r>
      <w:r w:rsidR="00C134D6">
        <w:t xml:space="preserve"> However, I have to note that the assignation of a country code i</w:t>
      </w:r>
      <w:r w:rsidR="00031149">
        <w:t>n</w:t>
      </w:r>
      <w:r w:rsidR="00C134D6">
        <w:t xml:space="preserve"> an address registration reflects </w:t>
      </w:r>
      <w:r w:rsidR="00031149">
        <w:t>the country wher</w:t>
      </w:r>
      <w:r w:rsidR="000341BB">
        <w:t xml:space="preserve">e </w:t>
      </w:r>
      <w:r w:rsidR="00031149">
        <w:t>address holder is located</w:t>
      </w:r>
      <w:r w:rsidR="000341BB">
        <w:t xml:space="preserve"> (the corporate location), and not necessarily the country where the addresses will be deployed.</w:t>
      </w:r>
    </w:p>
    <w:p w14:paraId="13EE6EED" w14:textId="77777777" w:rsidR="000341BB" w:rsidRDefault="000341BB" w:rsidP="00F20841"/>
    <w:p w14:paraId="6AE45639" w14:textId="0FAB9AA0" w:rsidR="00D72DD5" w:rsidRDefault="006D608A" w:rsidP="00CA6B68">
      <w:pPr>
        <w:ind w:left="720"/>
        <w:rPr>
          <w:i/>
          <w:sz w:val="21"/>
          <w:szCs w:val="21"/>
        </w:rPr>
      </w:pPr>
      <w:r w:rsidRPr="006D608A">
        <w:rPr>
          <w:i/>
          <w:sz w:val="21"/>
          <w:szCs w:val="21"/>
        </w:rPr>
        <w:drawing>
          <wp:inline distT="0" distB="0" distL="0" distR="0" wp14:anchorId="45579F73" wp14:editId="4E7D7583">
            <wp:extent cx="2993758" cy="3327400"/>
            <wp:effectExtent l="0" t="0" r="3810" b="0"/>
            <wp:docPr id="146691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10983" name=""/>
                    <pic:cNvPicPr/>
                  </pic:nvPicPr>
                  <pic:blipFill>
                    <a:blip r:embed="rId41"/>
                    <a:stretch>
                      <a:fillRect/>
                    </a:stretch>
                  </pic:blipFill>
                  <pic:spPr>
                    <a:xfrm>
                      <a:off x="0" y="0"/>
                      <a:ext cx="2999622" cy="3333917"/>
                    </a:xfrm>
                    <a:prstGeom prst="rect">
                      <a:avLst/>
                    </a:prstGeom>
                  </pic:spPr>
                </pic:pic>
              </a:graphicData>
            </a:graphic>
          </wp:inline>
        </w:drawing>
      </w:r>
    </w:p>
    <w:p w14:paraId="2F1633D3" w14:textId="77777777" w:rsidR="00D72DD5" w:rsidRDefault="00D72DD5" w:rsidP="00CA6B68">
      <w:pPr>
        <w:ind w:left="720"/>
        <w:rPr>
          <w:i/>
          <w:sz w:val="21"/>
          <w:szCs w:val="21"/>
        </w:rPr>
      </w:pPr>
    </w:p>
    <w:p w14:paraId="0D30F0AD" w14:textId="4485BEC6" w:rsidR="00CA6B68" w:rsidRDefault="00CA6B68" w:rsidP="00CA6B68">
      <w:pPr>
        <w:ind w:left="720"/>
        <w:rPr>
          <w:i/>
          <w:sz w:val="21"/>
          <w:szCs w:val="21"/>
        </w:rPr>
      </w:pPr>
      <w:r w:rsidRPr="00986DB8">
        <w:rPr>
          <w:i/>
          <w:sz w:val="21"/>
          <w:szCs w:val="21"/>
        </w:rPr>
        <w:t xml:space="preserve">Table </w:t>
      </w:r>
      <w:r>
        <w:rPr>
          <w:i/>
          <w:sz w:val="21"/>
          <w:szCs w:val="21"/>
        </w:rPr>
        <w:t xml:space="preserve">11 – </w:t>
      </w:r>
      <w:r w:rsidR="004D2FFC">
        <w:rPr>
          <w:i/>
          <w:sz w:val="21"/>
          <w:szCs w:val="21"/>
        </w:rPr>
        <w:t>IPv4 Allocated Address P</w:t>
      </w:r>
      <w:r>
        <w:rPr>
          <w:i/>
          <w:sz w:val="21"/>
          <w:szCs w:val="21"/>
        </w:rPr>
        <w:t>ools per National Economy</w:t>
      </w:r>
      <w:r w:rsidR="00043A6B">
        <w:rPr>
          <w:i/>
          <w:sz w:val="21"/>
          <w:szCs w:val="21"/>
        </w:rPr>
        <w:t xml:space="preserve"> as of January 2025</w:t>
      </w:r>
    </w:p>
    <w:p w14:paraId="122E69C2" w14:textId="77777777" w:rsidR="00F20841" w:rsidRDefault="00F20841" w:rsidP="00F20841"/>
    <w:p w14:paraId="3D4B3420" w14:textId="548F084D" w:rsidR="00D72DD5" w:rsidRDefault="00C51339" w:rsidP="00F20841">
      <w:r>
        <w:rPr>
          <w:noProof/>
        </w:rPr>
        <mc:AlternateContent>
          <mc:Choice Requires="wps">
            <w:drawing>
              <wp:anchor distT="0" distB="0" distL="114300" distR="114300" simplePos="0" relativeHeight="251669504" behindDoc="0" locked="0" layoutInCell="1" allowOverlap="1" wp14:anchorId="5AE70789" wp14:editId="650E9E87">
                <wp:simplePos x="0" y="0"/>
                <wp:positionH relativeFrom="column">
                  <wp:posOffset>931545</wp:posOffset>
                </wp:positionH>
                <wp:positionV relativeFrom="paragraph">
                  <wp:posOffset>76200</wp:posOffset>
                </wp:positionV>
                <wp:extent cx="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31DDDD"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3.35pt,6pt" to="73.3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" strokecolor="#4f81bd [3204]" strokeweight="2pt">
                <v:shadow on="t" color="black" opacity="24903f" origin=",.5" offset="0,.55556mm"/>
              </v:line>
            </w:pict>
          </mc:Fallback>
        </mc:AlternateContent>
      </w:r>
      <w:r w:rsidR="007B1E32">
        <w:t>If we divide this address pool by the current population of each national entity</w:t>
      </w:r>
      <w:r w:rsidR="005A4200">
        <w:t>,</w:t>
      </w:r>
      <w:r w:rsidR="007B1E32">
        <w:t xml:space="preserve"> then we can </w:t>
      </w:r>
      <w:r w:rsidR="004D2FFC">
        <w:t>derive</w:t>
      </w:r>
      <w:r w:rsidR="007B1E32">
        <w:t xml:space="preserve"> an address per capita index. </w:t>
      </w:r>
      <w:r w:rsidR="004D2FFC">
        <w:t>The global total</w:t>
      </w:r>
      <w:r w:rsidR="005A4200">
        <w:t xml:space="preserve"> of 3.</w:t>
      </w:r>
      <w:r w:rsidR="00EA2D4F">
        <w:t>69</w:t>
      </w:r>
      <w:r w:rsidR="005A4200">
        <w:t xml:space="preserve"> billion </w:t>
      </w:r>
      <w:r w:rsidR="004D2FFC">
        <w:t xml:space="preserve">allocated </w:t>
      </w:r>
      <w:r w:rsidR="005A4200">
        <w:t xml:space="preserve">addresses with an estimated global population of </w:t>
      </w:r>
      <w:r w:rsidR="00D72DD5">
        <w:t>8</w:t>
      </w:r>
      <w:r w:rsidR="005A4200">
        <w:t xml:space="preserve"> billion people gives an overall value of 0.</w:t>
      </w:r>
      <w:r w:rsidR="00ED373E">
        <w:t>4</w:t>
      </w:r>
      <w:r w:rsidR="006D608A">
        <w:t>5</w:t>
      </w:r>
      <w:r w:rsidR="005A4200">
        <w:t xml:space="preserve"> </w:t>
      </w:r>
      <w:r w:rsidR="004D2FFC">
        <w:t xml:space="preserve">IPv4 </w:t>
      </w:r>
      <w:r w:rsidR="005A4200">
        <w:t xml:space="preserve">addresses per capita. </w:t>
      </w:r>
    </w:p>
    <w:p w14:paraId="00670C8E" w14:textId="39B45DF9" w:rsidR="00D72DD5" w:rsidRDefault="00D72DD5" w:rsidP="00F20841"/>
    <w:p w14:paraId="5785DAA5" w14:textId="63F42636" w:rsidR="00D72DD5" w:rsidRDefault="00DB4499" w:rsidP="00D72DD5">
      <w:pPr>
        <w:ind w:left="720"/>
      </w:pPr>
      <w:r w:rsidRPr="00DB4499">
        <w:lastRenderedPageBreak/>
        <w:drawing>
          <wp:inline distT="0" distB="0" distL="0" distR="0" wp14:anchorId="286ADA22" wp14:editId="46EE0A07">
            <wp:extent cx="3181350" cy="1773072"/>
            <wp:effectExtent l="0" t="0" r="0" b="5080"/>
            <wp:docPr id="1235202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2703" name=""/>
                    <pic:cNvPicPr/>
                  </pic:nvPicPr>
                  <pic:blipFill>
                    <a:blip r:embed="rId42"/>
                    <a:stretch>
                      <a:fillRect/>
                    </a:stretch>
                  </pic:blipFill>
                  <pic:spPr>
                    <a:xfrm>
                      <a:off x="0" y="0"/>
                      <a:ext cx="3227108" cy="1798574"/>
                    </a:xfrm>
                    <a:prstGeom prst="rect">
                      <a:avLst/>
                    </a:prstGeom>
                  </pic:spPr>
                </pic:pic>
              </a:graphicData>
            </a:graphic>
          </wp:inline>
        </w:drawing>
      </w:r>
    </w:p>
    <w:p w14:paraId="5B92E075" w14:textId="77777777" w:rsidR="00D72DD5" w:rsidRDefault="00D72DD5" w:rsidP="00D72DD5">
      <w:pPr>
        <w:ind w:left="720"/>
        <w:rPr>
          <w:i/>
          <w:iCs/>
          <w:sz w:val="21"/>
          <w:szCs w:val="21"/>
        </w:rPr>
      </w:pPr>
    </w:p>
    <w:p w14:paraId="57B351E9" w14:textId="3CD3113D" w:rsidR="00D72DD5" w:rsidRPr="00D72DD5" w:rsidRDefault="00D72DD5" w:rsidP="00D72DD5">
      <w:pPr>
        <w:ind w:left="720"/>
        <w:rPr>
          <w:i/>
          <w:iCs/>
          <w:sz w:val="21"/>
          <w:szCs w:val="21"/>
        </w:rPr>
      </w:pPr>
      <w:r w:rsidRPr="00D72DD5">
        <w:rPr>
          <w:i/>
          <w:iCs/>
          <w:sz w:val="21"/>
          <w:szCs w:val="21"/>
        </w:rPr>
        <w:t>Table 12 – IPv4 Allocated Address Pools</w:t>
      </w:r>
      <w:r w:rsidR="0016607A">
        <w:rPr>
          <w:i/>
          <w:iCs/>
          <w:sz w:val="21"/>
          <w:szCs w:val="21"/>
        </w:rPr>
        <w:t xml:space="preserve"> ranked </w:t>
      </w:r>
      <w:r w:rsidR="00D230A7">
        <w:rPr>
          <w:i/>
          <w:iCs/>
          <w:sz w:val="21"/>
          <w:szCs w:val="21"/>
        </w:rPr>
        <w:t xml:space="preserve">by </w:t>
      </w:r>
      <w:r w:rsidRPr="00D72DD5">
        <w:rPr>
          <w:i/>
          <w:iCs/>
          <w:sz w:val="21"/>
          <w:szCs w:val="21"/>
        </w:rPr>
        <w:t>per</w:t>
      </w:r>
      <w:r w:rsidR="00D230A7">
        <w:rPr>
          <w:i/>
          <w:iCs/>
          <w:sz w:val="21"/>
          <w:szCs w:val="21"/>
        </w:rPr>
        <w:t>-</w:t>
      </w:r>
      <w:r w:rsidRPr="00D72DD5">
        <w:rPr>
          <w:i/>
          <w:iCs/>
          <w:sz w:val="21"/>
          <w:szCs w:val="21"/>
        </w:rPr>
        <w:t>Capita</w:t>
      </w:r>
      <w:r w:rsidR="00D230A7">
        <w:rPr>
          <w:i/>
          <w:iCs/>
          <w:sz w:val="21"/>
          <w:szCs w:val="21"/>
        </w:rPr>
        <w:t xml:space="preserve"> holdings</w:t>
      </w:r>
    </w:p>
    <w:p w14:paraId="2DD302AE" w14:textId="77777777" w:rsidR="00D72DD5" w:rsidRDefault="00D72DD5" w:rsidP="00F20841"/>
    <w:p w14:paraId="15AC940E" w14:textId="349B69A3" w:rsidR="00396712" w:rsidRDefault="00396712" w:rsidP="00396712">
      <w:pPr>
        <w:pStyle w:val="Heading3"/>
      </w:pPr>
      <w:r>
        <w:t>IPv4 Address Leasing</w:t>
      </w:r>
    </w:p>
    <w:p w14:paraId="18B89463" w14:textId="77777777" w:rsidR="00396712" w:rsidRDefault="00396712" w:rsidP="00396712">
      <w:r>
        <w:t xml:space="preserve">It is worth noting that the address market includes leasing as well as sales. Should an entity who requires IPv4 addresses enter the market and perform an outright purchase of the addresses from an existing address holder, or should they execute a timed leased to have the use of these addresses for a specified period and presumably return these addresses at the end of the lease? This </w:t>
      </w:r>
      <w:r w:rsidRPr="00EA2D4F">
        <w:rPr>
          <w:i/>
          <w:iCs/>
        </w:rPr>
        <w:t>lease versus buy</w:t>
      </w:r>
      <w:r>
        <w:t xml:space="preserve"> question is a very conventional question in market economics and there are various well-rehearsed answers to the question. They tend to relate to the factoring of market information and scenario planning.</w:t>
      </w:r>
    </w:p>
    <w:p w14:paraId="7C214F63" w14:textId="77777777" w:rsidR="00396712" w:rsidRDefault="00396712" w:rsidP="00396712"/>
    <w:p w14:paraId="24EF765D" w14:textId="3493DA3E" w:rsidR="00396712" w:rsidRDefault="00396712" w:rsidP="00396712">
      <w:r>
        <w:t>If a buyer believes that the situation that led to the formation of a market will endure for a long time, and the goods being traded on the market are in finite supply while the level of demand for these goods is increasing, then the market will add an escalating scarcity premium to the price goods being traded. The balancing of demand and supply becomes a function of this scarcity premium imposed on the good</w:t>
      </w:r>
      <w:r w:rsidR="00EA2D4F">
        <w:t>s being traded</w:t>
      </w:r>
      <w:r>
        <w:t>. Goods in short supply tend to become more expensive to buy over time. A holder of these goods will see an increase in the value of the goods that they hold. A lessee will not.</w:t>
      </w:r>
    </w:p>
    <w:p w14:paraId="119C88C2" w14:textId="77777777" w:rsidR="00396712" w:rsidRDefault="00396712" w:rsidP="00396712"/>
    <w:p w14:paraId="3D372C14" w14:textId="77777777" w:rsidR="00396712" w:rsidRDefault="00396712" w:rsidP="00396712">
      <w:r>
        <w:t>If a buyer believes that the market only has a short lifespan, and that demand for the good will rapidly dissipate at the end of this lifespan, then leasing the good makes sense, in so far as the lessee is not left with a valueless asset when the market collapses.</w:t>
      </w:r>
    </w:p>
    <w:p w14:paraId="08A2DE8D" w14:textId="77777777" w:rsidR="00396712" w:rsidRDefault="00396712" w:rsidP="00396712"/>
    <w:p w14:paraId="6B406E2F" w14:textId="77777777" w:rsidR="00396712" w:rsidRDefault="00396712" w:rsidP="00396712">
      <w:r>
        <w:t>Scarcity also has several additional consequences, one of which is the pricing of substitute goods. At some point the price of the original good rises to the point that substitution looks economically attractive, even if the substitute good has a higher cost of production or use. In fact, this substitution price effectively sets a price ceiling for the original scarce good.</w:t>
      </w:r>
    </w:p>
    <w:p w14:paraId="21CFEC4C" w14:textId="77777777" w:rsidR="00396712" w:rsidRDefault="00396712" w:rsidP="00396712"/>
    <w:p w14:paraId="40A8F6C0" w14:textId="49305367" w:rsidR="00396712" w:rsidRDefault="00396712" w:rsidP="00396712">
      <w:r>
        <w:t xml:space="preserve">Some commentators have advanced the view that an escalating price for IPv4 increases the economic incentive for IPv6 adoption, and this may indeed be the case. However, there are other potential substitutes that have been used, most notably NATs (Network Address Translators). While NATs do not eliminate the demand pressure for IPv4, they can go a long way to increase the address utilisation efficiency if IPv4 addresses. NATs allow the same address to be used by multiple customers at different times. The larger the pool of customers that share a common pool of NAT addresses the greater the achievable multiplexing capability. </w:t>
      </w:r>
    </w:p>
    <w:p w14:paraId="2D0F071B" w14:textId="77777777" w:rsidR="00396712" w:rsidRDefault="00396712" w:rsidP="00396712"/>
    <w:p w14:paraId="34906B1B" w14:textId="70DE3B3E" w:rsidR="00396712" w:rsidRDefault="00396712" w:rsidP="00396712">
      <w:r>
        <w:t>The estimate as to how long the market in IPv4 addresses will persist is effectively a judgement as to how long IPv4 and NATs can last and how long it will take IPv6 to sufficiently deployed to be viable as an IPv6-only service. At that point in time there is likely to be a tipping point where the pressure for all hosts and networks to support access to services over IPv4 collapses. A that point, the early IPv6-only adopters can dump all their remaining IPv4 resources onto the market as they have no further need for them, which would presumably trigger a level of market panic to emerge as existing holders are faced with the prospect of holding a worthless asset and are therefore under pressure to sell off their IPv4 assets while there are still buyers in the market.</w:t>
      </w:r>
    </w:p>
    <w:p w14:paraId="2369AB8C" w14:textId="77777777" w:rsidR="00396712" w:rsidRDefault="00396712" w:rsidP="00396712"/>
    <w:p w14:paraId="7BD4CC83" w14:textId="590CCF97" w:rsidR="008573BB" w:rsidRDefault="00396712" w:rsidP="00396712">
      <w:r>
        <w:t>While a significant population of IPv4-only hosts and networks can stall this transition and increase scarcity pressure, if the scarcity pressure becomes too great the impetus of IPv6-only adoption increases to the level that the IPv6-connected base achieves market dominance. When this condition is achieved the IPv4 address</w:t>
      </w:r>
      <w:r w:rsidR="008573BB">
        <w:t xml:space="preserve"> </w:t>
      </w:r>
      <w:r>
        <w:t>market will quickly collapse.</w:t>
      </w:r>
    </w:p>
    <w:p w14:paraId="6C62C37A" w14:textId="488E94BD" w:rsidR="00A25610" w:rsidRDefault="00426383" w:rsidP="006637BA">
      <w:pPr>
        <w:pStyle w:val="Heading1"/>
      </w:pPr>
      <w:r>
        <w:t>IPv6 in 20</w:t>
      </w:r>
      <w:r w:rsidR="00484E8E">
        <w:t>2</w:t>
      </w:r>
      <w:r w:rsidR="007E1B89">
        <w:t>4</w:t>
      </w:r>
    </w:p>
    <w:p w14:paraId="28A0B55F" w14:textId="77777777" w:rsidR="004D2FFC" w:rsidRDefault="004D2FFC" w:rsidP="00E12DA6"/>
    <w:p w14:paraId="624C960B" w14:textId="4E03765A" w:rsidR="00431669" w:rsidRDefault="00EF5835" w:rsidP="00E12DA6">
      <w:r>
        <w:t>Obviously,</w:t>
      </w:r>
      <w:r w:rsidR="006637BA">
        <w:t xml:space="preserve"> the story of IPv4</w:t>
      </w:r>
      <w:r w:rsidR="00811B3B">
        <w:t xml:space="preserve"> address allocations is only half of</w:t>
      </w:r>
      <w:r w:rsidR="006637BA">
        <w:t xml:space="preserve"> the story, and to complete the picture it</w:t>
      </w:r>
      <w:r>
        <w:t xml:space="preserve">’s </w:t>
      </w:r>
      <w:r w:rsidR="006637BA">
        <w:t>necessary to look</w:t>
      </w:r>
      <w:r>
        <w:t xml:space="preserve"> at how IPv6 has fared over 20</w:t>
      </w:r>
      <w:r w:rsidR="00484E8E">
        <w:t>2</w:t>
      </w:r>
      <w:r w:rsidR="00F05233">
        <w:t>4</w:t>
      </w:r>
      <w:r w:rsidR="006637BA">
        <w:t xml:space="preserve">. </w:t>
      </w:r>
    </w:p>
    <w:p w14:paraId="391C6D10" w14:textId="77777777" w:rsidR="00431669" w:rsidRDefault="00431669" w:rsidP="00E12DA6"/>
    <w:p w14:paraId="33E88754" w14:textId="6C1C900D" w:rsidR="00E12DA6" w:rsidRDefault="00E12DA6" w:rsidP="00E12DA6">
      <w:r>
        <w:t>IPv6 uses a somewhat different address allocation methodology than IPv4, and it is a matter of choice for a service provider as to how large an IPv6 address prefix is assigned to each customer. The original recommendations publis</w:t>
      </w:r>
      <w:r w:rsidR="006637BA">
        <w:t>hed by the IAB and IESG in 2001</w:t>
      </w:r>
      <w:r w:rsidR="00A0781D">
        <w:t>, documented in RFC3177</w:t>
      </w:r>
      <w:r w:rsidR="00EF5835">
        <w:t>,</w:t>
      </w:r>
      <w:r>
        <w:t xml:space="preserve"> envisaged the general use of a /48 </w:t>
      </w:r>
      <w:r w:rsidR="00484E8E">
        <w:t xml:space="preserve">prefix </w:t>
      </w:r>
      <w:r>
        <w:t>as a</w:t>
      </w:r>
      <w:r w:rsidR="00F43096">
        <w:t xml:space="preserve"> generally suitable</w:t>
      </w:r>
      <w:r>
        <w:t xml:space="preserve"> end</w:t>
      </w:r>
      <w:r w:rsidR="00F43096">
        <w:t>-</w:t>
      </w:r>
      <w:r>
        <w:t xml:space="preserve">site prefix. Subsequent consideration </w:t>
      </w:r>
      <w:r w:rsidR="006637BA">
        <w:t xml:space="preserve">of long term address conservation </w:t>
      </w:r>
      <w:r>
        <w:t>saw a more flexible approach being taken with the choice of the end site prefix size being lef</w:t>
      </w:r>
      <w:r w:rsidR="00A0781D">
        <w:t>t to the service provider. T</w:t>
      </w:r>
      <w:r>
        <w:t>oday's IPv6 environment has some providers using a /6</w:t>
      </w:r>
      <w:r w:rsidR="004538FC">
        <w:t>0 end site allocation unit, many</w:t>
      </w:r>
      <w:r>
        <w:t xml:space="preserve"> us</w:t>
      </w:r>
      <w:r w:rsidR="00484E8E">
        <w:t>ing</w:t>
      </w:r>
      <w:r>
        <w:t xml:space="preserve"> a /56, and </w:t>
      </w:r>
      <w:r w:rsidR="00484E8E">
        <w:t xml:space="preserve">many </w:t>
      </w:r>
      <w:r>
        <w:t>other providers us</w:t>
      </w:r>
      <w:r w:rsidR="00484E8E">
        <w:t>ing</w:t>
      </w:r>
      <w:r>
        <w:t xml:space="preserve"> a /48. This variation makes a comparison of the count of allocated IPv6 addresses somewhat misleading, as an ISP using /48's for end sites will require 256 times more address space to accommodate </w:t>
      </w:r>
      <w:r w:rsidR="004E169F">
        <w:t>a similarly sized</w:t>
      </w:r>
      <w:r>
        <w:t xml:space="preserve"> same customer base as a provider who us</w:t>
      </w:r>
      <w:r w:rsidR="004E169F">
        <w:t>e</w:t>
      </w:r>
      <w:r w:rsidR="00C713DD">
        <w:t>s a /56 end site prefix, and 4,096</w:t>
      </w:r>
      <w:r>
        <w:t xml:space="preserve"> times more address space than an ISP </w:t>
      </w:r>
      <w:r w:rsidR="004E169F">
        <w:t>using a /60 end site allocation!</w:t>
      </w:r>
    </w:p>
    <w:p w14:paraId="7A9C7AE7" w14:textId="77777777" w:rsidR="00E12DA6" w:rsidRDefault="00E12DA6" w:rsidP="00E12DA6"/>
    <w:p w14:paraId="2361C558" w14:textId="3B0744DD" w:rsidR="004C183A" w:rsidRDefault="004E169F" w:rsidP="00A310AB">
      <w:pPr>
        <w:jc w:val="left"/>
      </w:pPr>
      <w:r>
        <w:t>F</w:t>
      </w:r>
      <w:r w:rsidR="004C183A">
        <w:t>or IPv6 let's use both the number of discrete IPv6 allocations and the total amo</w:t>
      </w:r>
      <w:r w:rsidR="00150261">
        <w:t>unt of space that was allocat</w:t>
      </w:r>
      <w:r>
        <w:t>ed to see how IPv6 far</w:t>
      </w:r>
      <w:r w:rsidR="00A25364">
        <w:t>ed in 20</w:t>
      </w:r>
      <w:r w:rsidR="00015A17">
        <w:t>2</w:t>
      </w:r>
      <w:r w:rsidR="007E1B89">
        <w:t>4</w:t>
      </w:r>
      <w:r w:rsidR="00150261">
        <w:t>.</w:t>
      </w:r>
    </w:p>
    <w:p w14:paraId="5C021AFA" w14:textId="77777777" w:rsidR="00E12DA6" w:rsidRDefault="00E12DA6" w:rsidP="00E12DA6"/>
    <w:p w14:paraId="13EB7C31" w14:textId="78F77063" w:rsidR="00132F58" w:rsidRDefault="00A22989" w:rsidP="00E12DA6">
      <w:r>
        <w:t>Comparing 20</w:t>
      </w:r>
      <w:r w:rsidR="00015A17">
        <w:t>2</w:t>
      </w:r>
      <w:r w:rsidR="00F05233">
        <w:t>3</w:t>
      </w:r>
      <w:r>
        <w:t xml:space="preserve"> to 20</w:t>
      </w:r>
      <w:r w:rsidR="00132F58">
        <w:t>2</w:t>
      </w:r>
      <w:r w:rsidR="00F05233">
        <w:t>4</w:t>
      </w:r>
      <w:r w:rsidR="00F43096">
        <w:t>,</w:t>
      </w:r>
      <w:r w:rsidR="00E12DA6">
        <w:t xml:space="preserve"> the number o</w:t>
      </w:r>
      <w:r w:rsidR="002C7D92">
        <w:t>f individual allocations of IPv6</w:t>
      </w:r>
      <w:r w:rsidR="00E12DA6">
        <w:t xml:space="preserve"> address space</w:t>
      </w:r>
      <w:r w:rsidR="002C7D92">
        <w:t xml:space="preserve"> </w:t>
      </w:r>
      <w:r w:rsidR="00364D71">
        <w:t xml:space="preserve">has </w:t>
      </w:r>
      <w:r w:rsidR="00F05233">
        <w:t>increased</w:t>
      </w:r>
      <w:r w:rsidR="00F43096">
        <w:t xml:space="preserve"> by </w:t>
      </w:r>
      <w:r w:rsidR="00F05233">
        <w:t>1</w:t>
      </w:r>
      <w:r w:rsidR="00F43096">
        <w:t xml:space="preserve">%, while the number of IPv4 allocation transactions has </w:t>
      </w:r>
      <w:r w:rsidR="00CF1451">
        <w:t>increased</w:t>
      </w:r>
      <w:r w:rsidR="00053DA4">
        <w:t xml:space="preserve"> by </w:t>
      </w:r>
      <w:r w:rsidR="00CF1451">
        <w:t>3</w:t>
      </w:r>
      <w:r w:rsidR="00F43096">
        <w:t xml:space="preserve">% </w:t>
      </w:r>
      <w:r w:rsidR="009C369B">
        <w:t>(Table 13)</w:t>
      </w:r>
      <w:r w:rsidR="00132F58">
        <w:t>.</w:t>
      </w:r>
    </w:p>
    <w:p w14:paraId="19A4A19F" w14:textId="509CA07D" w:rsidR="008E418A" w:rsidRDefault="008E418A" w:rsidP="00E12DA6"/>
    <w:p w14:paraId="23C5B28E" w14:textId="57A33332" w:rsidR="00132F58" w:rsidRDefault="00F05233" w:rsidP="00132F58">
      <w:pPr>
        <w:ind w:left="720"/>
      </w:pPr>
      <w:r w:rsidRPr="00F05233">
        <w:rPr>
          <w:noProof/>
        </w:rPr>
        <w:drawing>
          <wp:inline distT="0" distB="0" distL="0" distR="0" wp14:anchorId="2AEFEB4B" wp14:editId="1CF7698E">
            <wp:extent cx="5664200" cy="428108"/>
            <wp:effectExtent l="0" t="0" r="0" b="3810"/>
            <wp:docPr id="59915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50257" name=""/>
                    <pic:cNvPicPr/>
                  </pic:nvPicPr>
                  <pic:blipFill>
                    <a:blip r:embed="rId43"/>
                    <a:stretch>
                      <a:fillRect/>
                    </a:stretch>
                  </pic:blipFill>
                  <pic:spPr>
                    <a:xfrm>
                      <a:off x="0" y="0"/>
                      <a:ext cx="5853148" cy="442389"/>
                    </a:xfrm>
                    <a:prstGeom prst="rect">
                      <a:avLst/>
                    </a:prstGeom>
                  </pic:spPr>
                </pic:pic>
              </a:graphicData>
            </a:graphic>
          </wp:inline>
        </w:drawing>
      </w:r>
    </w:p>
    <w:p w14:paraId="6F144D9F" w14:textId="77777777" w:rsidR="00132F58" w:rsidRPr="00CF1451" w:rsidRDefault="00132F58" w:rsidP="00431669">
      <w:pPr>
        <w:ind w:left="720"/>
        <w:rPr>
          <w:i/>
          <w:sz w:val="18"/>
          <w:szCs w:val="18"/>
        </w:rPr>
      </w:pPr>
    </w:p>
    <w:p w14:paraId="4DF457B1" w14:textId="3EF15D2D" w:rsidR="00E12DA6" w:rsidRPr="00986DB8" w:rsidRDefault="00CA6B68" w:rsidP="00431669">
      <w:pPr>
        <w:ind w:left="720"/>
        <w:rPr>
          <w:i/>
          <w:sz w:val="21"/>
          <w:szCs w:val="21"/>
        </w:rPr>
      </w:pPr>
      <w:r>
        <w:rPr>
          <w:i/>
          <w:sz w:val="21"/>
          <w:szCs w:val="21"/>
        </w:rPr>
        <w:t>Table 1</w:t>
      </w:r>
      <w:r w:rsidR="00484E8E">
        <w:rPr>
          <w:i/>
          <w:sz w:val="21"/>
          <w:szCs w:val="21"/>
        </w:rPr>
        <w:t>3</w:t>
      </w:r>
      <w:r w:rsidR="00E12DA6" w:rsidRPr="00986DB8">
        <w:rPr>
          <w:i/>
          <w:sz w:val="21"/>
          <w:szCs w:val="21"/>
        </w:rPr>
        <w:t xml:space="preserve"> - Number of indi</w:t>
      </w:r>
      <w:r w:rsidR="006D7BC2" w:rsidRPr="00986DB8">
        <w:rPr>
          <w:i/>
          <w:sz w:val="21"/>
          <w:szCs w:val="21"/>
        </w:rPr>
        <w:t>vidual Address Allocations, 20</w:t>
      </w:r>
      <w:r w:rsidR="00F43096">
        <w:rPr>
          <w:i/>
          <w:sz w:val="21"/>
          <w:szCs w:val="21"/>
        </w:rPr>
        <w:t>11</w:t>
      </w:r>
      <w:r w:rsidR="00E12DA6" w:rsidRPr="00986DB8">
        <w:rPr>
          <w:i/>
          <w:sz w:val="21"/>
          <w:szCs w:val="21"/>
        </w:rPr>
        <w:t xml:space="preserve"> - </w:t>
      </w:r>
      <w:r w:rsidR="00FC3DE6">
        <w:rPr>
          <w:i/>
          <w:sz w:val="21"/>
          <w:szCs w:val="21"/>
        </w:rPr>
        <w:t>20</w:t>
      </w:r>
      <w:r w:rsidR="00484E8E">
        <w:rPr>
          <w:i/>
          <w:sz w:val="21"/>
          <w:szCs w:val="21"/>
        </w:rPr>
        <w:t>2</w:t>
      </w:r>
      <w:r w:rsidR="00F05233">
        <w:rPr>
          <w:i/>
          <w:sz w:val="21"/>
          <w:szCs w:val="21"/>
        </w:rPr>
        <w:t>4</w:t>
      </w:r>
    </w:p>
    <w:p w14:paraId="31D4EF14" w14:textId="77777777" w:rsidR="00E12DA6" w:rsidRPr="003C345E" w:rsidRDefault="00E12DA6" w:rsidP="00E12DA6">
      <w:pPr>
        <w:rPr>
          <w:sz w:val="21"/>
          <w:szCs w:val="21"/>
        </w:rPr>
      </w:pPr>
    </w:p>
    <w:p w14:paraId="13861D40" w14:textId="1045A5B2" w:rsidR="00186527" w:rsidRPr="002A45EE" w:rsidRDefault="00683753" w:rsidP="00431669">
      <w:r>
        <w:t xml:space="preserve">The amount of </w:t>
      </w:r>
      <w:r w:rsidR="008F3350">
        <w:t>IPv6</w:t>
      </w:r>
      <w:r>
        <w:t xml:space="preserve"> ad</w:t>
      </w:r>
      <w:r w:rsidR="002A45EE">
        <w:t>dress space distributed in 20</w:t>
      </w:r>
      <w:r w:rsidR="00BB4593">
        <w:t>2</w:t>
      </w:r>
      <w:r w:rsidR="00CF1451">
        <w:t>4</w:t>
      </w:r>
      <w:r w:rsidR="00800E25">
        <w:t xml:space="preserve"> </w:t>
      </w:r>
      <w:r w:rsidR="00032935">
        <w:t xml:space="preserve">is </w:t>
      </w:r>
      <w:r w:rsidR="00CF1451">
        <w:t>60</w:t>
      </w:r>
      <w:r w:rsidR="00BB4593">
        <w:t>%</w:t>
      </w:r>
      <w:r w:rsidR="00053DA4">
        <w:t xml:space="preserve"> </w:t>
      </w:r>
      <w:r w:rsidR="00F43096">
        <w:t xml:space="preserve">less </w:t>
      </w:r>
      <w:r w:rsidR="00032935">
        <w:t xml:space="preserve">than the amount </w:t>
      </w:r>
      <w:r w:rsidR="00BB4593">
        <w:t>that was allocated in 202</w:t>
      </w:r>
      <w:r w:rsidR="00CF1451">
        <w:t>3</w:t>
      </w:r>
      <w:r w:rsidR="00F43096">
        <w:t xml:space="preserve">, while the corresponding IPv4 volume has </w:t>
      </w:r>
      <w:r w:rsidR="00CF1451">
        <w:t>increased</w:t>
      </w:r>
      <w:r w:rsidR="00F43096">
        <w:t xml:space="preserve"> by </w:t>
      </w:r>
      <w:r w:rsidR="00CF1451">
        <w:t>13</w:t>
      </w:r>
      <w:r w:rsidR="00F43096">
        <w:t>%</w:t>
      </w:r>
      <w:r w:rsidR="00DA0329">
        <w:t xml:space="preserve"> </w:t>
      </w:r>
      <w:r w:rsidR="00CA6B68">
        <w:rPr>
          <w:rStyle w:val="PageNumber"/>
        </w:rPr>
        <w:t>(Table 1</w:t>
      </w:r>
      <w:r w:rsidR="00851DA9">
        <w:rPr>
          <w:rStyle w:val="PageNumber"/>
        </w:rPr>
        <w:t>4</w:t>
      </w:r>
      <w:r w:rsidR="00431669">
        <w:rPr>
          <w:rStyle w:val="PageNumber"/>
        </w:rPr>
        <w:t>)</w:t>
      </w:r>
      <w:r w:rsidR="00BD4AB4">
        <w:rPr>
          <w:rStyle w:val="PageNumber"/>
        </w:rPr>
        <w:t>.</w:t>
      </w:r>
    </w:p>
    <w:p w14:paraId="2402EE47" w14:textId="212BBA0D" w:rsidR="00851DA9" w:rsidRDefault="00851DA9" w:rsidP="00431669">
      <w:pPr>
        <w:ind w:left="720"/>
        <w:rPr>
          <w:i/>
          <w:sz w:val="21"/>
          <w:szCs w:val="21"/>
        </w:rPr>
      </w:pPr>
    </w:p>
    <w:p w14:paraId="6E250337" w14:textId="12D0A890" w:rsidR="00851DA9" w:rsidRDefault="00CF1451" w:rsidP="00431669">
      <w:pPr>
        <w:ind w:left="720"/>
        <w:rPr>
          <w:i/>
          <w:sz w:val="21"/>
          <w:szCs w:val="21"/>
        </w:rPr>
      </w:pPr>
      <w:r w:rsidRPr="00CF1451">
        <w:rPr>
          <w:i/>
          <w:noProof/>
          <w:sz w:val="21"/>
          <w:szCs w:val="21"/>
        </w:rPr>
        <w:drawing>
          <wp:inline distT="0" distB="0" distL="0" distR="0" wp14:anchorId="69DF4898" wp14:editId="3EC57375">
            <wp:extent cx="5664200" cy="376947"/>
            <wp:effectExtent l="0" t="0" r="0" b="4445"/>
            <wp:docPr id="73921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17898" name=""/>
                    <pic:cNvPicPr/>
                  </pic:nvPicPr>
                  <pic:blipFill>
                    <a:blip r:embed="rId44"/>
                    <a:stretch>
                      <a:fillRect/>
                    </a:stretch>
                  </pic:blipFill>
                  <pic:spPr>
                    <a:xfrm>
                      <a:off x="0" y="0"/>
                      <a:ext cx="5836869" cy="388438"/>
                    </a:xfrm>
                    <a:prstGeom prst="rect">
                      <a:avLst/>
                    </a:prstGeom>
                  </pic:spPr>
                </pic:pic>
              </a:graphicData>
            </a:graphic>
          </wp:inline>
        </w:drawing>
      </w:r>
    </w:p>
    <w:p w14:paraId="02DB474C" w14:textId="77777777" w:rsidR="00BB4593" w:rsidRPr="00CF1451" w:rsidRDefault="00BB4593" w:rsidP="00431669">
      <w:pPr>
        <w:ind w:left="720"/>
        <w:rPr>
          <w:i/>
          <w:sz w:val="18"/>
          <w:szCs w:val="18"/>
        </w:rPr>
      </w:pPr>
    </w:p>
    <w:p w14:paraId="6FBF3FA9" w14:textId="514AE169" w:rsidR="0060593A" w:rsidRPr="00986DB8" w:rsidRDefault="008C1B0A" w:rsidP="00431669">
      <w:pPr>
        <w:ind w:left="720"/>
        <w:rPr>
          <w:i/>
          <w:sz w:val="21"/>
          <w:szCs w:val="21"/>
        </w:rPr>
      </w:pPr>
      <w:r w:rsidRPr="00986DB8">
        <w:rPr>
          <w:i/>
          <w:sz w:val="21"/>
          <w:szCs w:val="21"/>
        </w:rPr>
        <w:t xml:space="preserve">Table </w:t>
      </w:r>
      <w:r w:rsidR="00CA6B68">
        <w:rPr>
          <w:i/>
          <w:sz w:val="21"/>
          <w:szCs w:val="21"/>
        </w:rPr>
        <w:t>1</w:t>
      </w:r>
      <w:r w:rsidR="00484E8E">
        <w:rPr>
          <w:i/>
          <w:sz w:val="21"/>
          <w:szCs w:val="21"/>
        </w:rPr>
        <w:t>4</w:t>
      </w:r>
      <w:r w:rsidR="0060593A" w:rsidRPr="00986DB8">
        <w:rPr>
          <w:i/>
          <w:sz w:val="21"/>
          <w:szCs w:val="21"/>
        </w:rPr>
        <w:t xml:space="preserve"> – Volume of </w:t>
      </w:r>
      <w:r w:rsidR="00DA0329">
        <w:rPr>
          <w:i/>
          <w:sz w:val="21"/>
          <w:szCs w:val="21"/>
        </w:rPr>
        <w:t>Address Allocations, 20</w:t>
      </w:r>
      <w:r w:rsidR="00F43096">
        <w:rPr>
          <w:i/>
          <w:sz w:val="21"/>
          <w:szCs w:val="21"/>
        </w:rPr>
        <w:t>11</w:t>
      </w:r>
      <w:r w:rsidR="00205B91">
        <w:rPr>
          <w:i/>
          <w:sz w:val="21"/>
          <w:szCs w:val="21"/>
        </w:rPr>
        <w:t xml:space="preserve"> </w:t>
      </w:r>
      <w:r w:rsidR="00BB4593">
        <w:rPr>
          <w:i/>
          <w:sz w:val="21"/>
          <w:szCs w:val="21"/>
        </w:rPr>
        <w:t>–</w:t>
      </w:r>
      <w:r w:rsidR="00205B91">
        <w:rPr>
          <w:i/>
          <w:sz w:val="21"/>
          <w:szCs w:val="21"/>
        </w:rPr>
        <w:t xml:space="preserve"> 202</w:t>
      </w:r>
      <w:r w:rsidR="00CF1451">
        <w:rPr>
          <w:i/>
          <w:sz w:val="21"/>
          <w:szCs w:val="21"/>
        </w:rPr>
        <w:t>4</w:t>
      </w:r>
    </w:p>
    <w:p w14:paraId="1DA8AF3B" w14:textId="77777777" w:rsidR="002C7D92" w:rsidRPr="003C345E" w:rsidRDefault="002C7D92" w:rsidP="00E12DA6">
      <w:pPr>
        <w:rPr>
          <w:sz w:val="16"/>
          <w:szCs w:val="16"/>
        </w:rPr>
      </w:pPr>
    </w:p>
    <w:p w14:paraId="35D6E5BC" w14:textId="3A57149F" w:rsidR="00E76566" w:rsidRDefault="00636066" w:rsidP="00E12DA6">
      <w:r>
        <w:t>Regionally</w:t>
      </w:r>
      <w:r w:rsidR="00BD4AB4">
        <w:t xml:space="preserve">, each of the RIRs saw IPv6 allocation activity </w:t>
      </w:r>
      <w:r w:rsidR="002A45EE">
        <w:t>in 20</w:t>
      </w:r>
      <w:r w:rsidR="00851DA9">
        <w:t>2</w:t>
      </w:r>
      <w:r w:rsidR="00CF1451">
        <w:t>4</w:t>
      </w:r>
      <w:r w:rsidR="00CC261F">
        <w:t xml:space="preserve"> </w:t>
      </w:r>
      <w:r w:rsidR="00BD4AB4">
        <w:t>that was on a par with those seen in</w:t>
      </w:r>
      <w:r w:rsidR="00A31340">
        <w:t xml:space="preserve"> 202</w:t>
      </w:r>
      <w:r w:rsidR="00CF1451">
        <w:t>3</w:t>
      </w:r>
      <w:r w:rsidR="00A31340">
        <w:t>, but well short of the peak period of IPv6 allocation activity in 2018 - 2019</w:t>
      </w:r>
      <w:r w:rsidR="00E50746">
        <w:t xml:space="preserve"> </w:t>
      </w:r>
      <w:r w:rsidR="00CA6B68">
        <w:t>(Table 1</w:t>
      </w:r>
      <w:r w:rsidR="00851DA9">
        <w:t>5</w:t>
      </w:r>
      <w:r w:rsidR="00431669">
        <w:t>)</w:t>
      </w:r>
      <w:r w:rsidR="008B36AC">
        <w:t>.</w:t>
      </w:r>
    </w:p>
    <w:p w14:paraId="6D0AB7BE" w14:textId="77777777" w:rsidR="00E12DA6" w:rsidRDefault="00E12DA6" w:rsidP="00EB20E8">
      <w:pPr>
        <w:ind w:left="720"/>
      </w:pPr>
    </w:p>
    <w:p w14:paraId="222F15E1" w14:textId="10E1E5CB" w:rsidR="00851DA9" w:rsidRDefault="003C345E" w:rsidP="00DF264E">
      <w:pPr>
        <w:ind w:left="720"/>
        <w:rPr>
          <w:i/>
          <w:sz w:val="21"/>
          <w:szCs w:val="21"/>
        </w:rPr>
      </w:pPr>
      <w:r w:rsidRPr="003C345E">
        <w:rPr>
          <w:i/>
          <w:noProof/>
          <w:sz w:val="21"/>
          <w:szCs w:val="21"/>
        </w:rPr>
        <w:drawing>
          <wp:inline distT="0" distB="0" distL="0" distR="0" wp14:anchorId="7FC19D7C" wp14:editId="489A839D">
            <wp:extent cx="5607221" cy="993140"/>
            <wp:effectExtent l="0" t="0" r="6350" b="0"/>
            <wp:docPr id="45047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75365" name=""/>
                    <pic:cNvPicPr/>
                  </pic:nvPicPr>
                  <pic:blipFill>
                    <a:blip r:embed="rId45"/>
                    <a:stretch>
                      <a:fillRect/>
                    </a:stretch>
                  </pic:blipFill>
                  <pic:spPr>
                    <a:xfrm>
                      <a:off x="0" y="0"/>
                      <a:ext cx="5740616" cy="1016767"/>
                    </a:xfrm>
                    <a:prstGeom prst="rect">
                      <a:avLst/>
                    </a:prstGeom>
                  </pic:spPr>
                </pic:pic>
              </a:graphicData>
            </a:graphic>
          </wp:inline>
        </w:drawing>
      </w:r>
    </w:p>
    <w:p w14:paraId="798B0125" w14:textId="77777777" w:rsidR="00806188" w:rsidRDefault="00806188" w:rsidP="00431669">
      <w:pPr>
        <w:ind w:left="720"/>
        <w:rPr>
          <w:i/>
          <w:sz w:val="21"/>
          <w:szCs w:val="21"/>
        </w:rPr>
      </w:pPr>
    </w:p>
    <w:p w14:paraId="79B4E3E7" w14:textId="59F3D04D" w:rsidR="00E12DA6" w:rsidRPr="00986DB8" w:rsidRDefault="00CA6B68" w:rsidP="00431669">
      <w:pPr>
        <w:ind w:left="720"/>
        <w:rPr>
          <w:i/>
          <w:sz w:val="21"/>
          <w:szCs w:val="21"/>
        </w:rPr>
      </w:pPr>
      <w:r>
        <w:rPr>
          <w:i/>
          <w:sz w:val="21"/>
          <w:szCs w:val="21"/>
        </w:rPr>
        <w:t>Table 1</w:t>
      </w:r>
      <w:r w:rsidR="00484E8E">
        <w:rPr>
          <w:i/>
          <w:sz w:val="21"/>
          <w:szCs w:val="21"/>
        </w:rPr>
        <w:t>5</w:t>
      </w:r>
      <w:r w:rsidR="00E12DA6" w:rsidRPr="00986DB8">
        <w:rPr>
          <w:i/>
          <w:sz w:val="21"/>
          <w:szCs w:val="21"/>
        </w:rPr>
        <w:t xml:space="preserve"> - IPv6 allocations by RIR</w:t>
      </w:r>
    </w:p>
    <w:p w14:paraId="7893285A" w14:textId="77777777" w:rsidR="00E76566" w:rsidRDefault="00E76566" w:rsidP="00E12DA6"/>
    <w:p w14:paraId="7DF087F6" w14:textId="6E169D3D" w:rsidR="00675DD2" w:rsidRDefault="00E76566" w:rsidP="00460632">
      <w:r>
        <w:lastRenderedPageBreak/>
        <w:t xml:space="preserve">The </w:t>
      </w:r>
      <w:r w:rsidR="008B36AC">
        <w:t xml:space="preserve">address </w:t>
      </w:r>
      <w:r>
        <w:t>assignment data tells a s</w:t>
      </w:r>
      <w:r w:rsidR="008C1B0A">
        <w:t>l</w:t>
      </w:r>
      <w:r w:rsidR="00CA6B68">
        <w:t>ightly different story. Table 1</w:t>
      </w:r>
      <w:r w:rsidR="00A56C09">
        <w:t>6</w:t>
      </w:r>
      <w:r>
        <w:t xml:space="preserve"> </w:t>
      </w:r>
      <w:r w:rsidR="00CC04BC">
        <w:t>shows the number of allocated IP</w:t>
      </w:r>
      <w:r>
        <w:t>v6</w:t>
      </w:r>
      <w:r w:rsidR="008C1B0A">
        <w:t xml:space="preserve"> /32's per year</w:t>
      </w:r>
      <w:r w:rsidR="00C304F2">
        <w:t>.</w:t>
      </w:r>
      <w:r w:rsidR="00F43096">
        <w:t xml:space="preserve"> The </w:t>
      </w:r>
      <w:r w:rsidR="00636E61">
        <w:t>202</w:t>
      </w:r>
      <w:r w:rsidR="003C345E">
        <w:t>4</w:t>
      </w:r>
      <w:r w:rsidR="00636E61">
        <w:t xml:space="preserve"> </w:t>
      </w:r>
      <w:r w:rsidR="00F43096">
        <w:t xml:space="preserve">allocation </w:t>
      </w:r>
      <w:r w:rsidR="00A31340">
        <w:t xml:space="preserve">IPv6 address </w:t>
      </w:r>
      <w:r w:rsidR="00F43096">
        <w:t xml:space="preserve">volume </w:t>
      </w:r>
      <w:r w:rsidR="00636E61">
        <w:t xml:space="preserve">in APNIC was </w:t>
      </w:r>
      <w:r w:rsidR="009C6B2B">
        <w:t>extremely large, with the allocation of a /17 prefix (</w:t>
      </w:r>
      <w:proofErr w:type="gramStart"/>
      <w:r w:rsidR="009C6B2B">
        <w:t>2410::)</w:t>
      </w:r>
      <w:proofErr w:type="gramEnd"/>
      <w:r w:rsidR="009C6B2B">
        <w:t xml:space="preserve"> to Huawei International in November 2024</w:t>
      </w:r>
      <w:r w:rsidR="00DF264E">
        <w:t xml:space="preserve"> being the major part of the annual allocation volume</w:t>
      </w:r>
      <w:r w:rsidR="009C6B2B">
        <w:t>.</w:t>
      </w:r>
    </w:p>
    <w:p w14:paraId="3ADDC47A" w14:textId="77777777" w:rsidR="00460632" w:rsidRDefault="00460632" w:rsidP="00460632"/>
    <w:p w14:paraId="02A04CE9" w14:textId="371175AB" w:rsidR="00E12DA6" w:rsidRPr="00986DB8" w:rsidRDefault="003C345E" w:rsidP="00EB20E8">
      <w:pPr>
        <w:ind w:left="627"/>
        <w:rPr>
          <w:sz w:val="21"/>
          <w:szCs w:val="21"/>
        </w:rPr>
      </w:pPr>
      <w:r w:rsidRPr="003C345E">
        <w:rPr>
          <w:noProof/>
          <w:sz w:val="21"/>
          <w:szCs w:val="21"/>
        </w:rPr>
        <w:drawing>
          <wp:inline distT="0" distB="0" distL="0" distR="0" wp14:anchorId="33DBEEBF" wp14:editId="0EEF6427">
            <wp:extent cx="5702300" cy="848951"/>
            <wp:effectExtent l="0" t="0" r="0" b="2540"/>
            <wp:docPr id="742280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80062" name=""/>
                    <pic:cNvPicPr/>
                  </pic:nvPicPr>
                  <pic:blipFill>
                    <a:blip r:embed="rId46"/>
                    <a:stretch>
                      <a:fillRect/>
                    </a:stretch>
                  </pic:blipFill>
                  <pic:spPr>
                    <a:xfrm>
                      <a:off x="0" y="0"/>
                      <a:ext cx="6057938" cy="901898"/>
                    </a:xfrm>
                    <a:prstGeom prst="rect">
                      <a:avLst/>
                    </a:prstGeom>
                  </pic:spPr>
                </pic:pic>
              </a:graphicData>
            </a:graphic>
          </wp:inline>
        </w:drawing>
      </w:r>
    </w:p>
    <w:p w14:paraId="1C7999C9" w14:textId="77777777" w:rsidR="00806188" w:rsidRDefault="00806188" w:rsidP="00431669">
      <w:pPr>
        <w:ind w:left="720"/>
        <w:rPr>
          <w:i/>
          <w:sz w:val="21"/>
          <w:szCs w:val="21"/>
        </w:rPr>
      </w:pPr>
    </w:p>
    <w:p w14:paraId="26C14059" w14:textId="6FFB730C" w:rsidR="00E12DA6" w:rsidRPr="00986DB8" w:rsidRDefault="00CA6B68" w:rsidP="00431669">
      <w:pPr>
        <w:ind w:left="720"/>
        <w:rPr>
          <w:i/>
          <w:sz w:val="21"/>
          <w:szCs w:val="21"/>
        </w:rPr>
      </w:pPr>
      <w:r>
        <w:rPr>
          <w:i/>
          <w:sz w:val="21"/>
          <w:szCs w:val="21"/>
        </w:rPr>
        <w:t>Table 1</w:t>
      </w:r>
      <w:r w:rsidR="00775A66">
        <w:rPr>
          <w:i/>
          <w:sz w:val="21"/>
          <w:szCs w:val="21"/>
        </w:rPr>
        <w:t>6</w:t>
      </w:r>
      <w:r w:rsidR="00EB20E8" w:rsidRPr="00986DB8">
        <w:rPr>
          <w:i/>
          <w:sz w:val="21"/>
          <w:szCs w:val="21"/>
        </w:rPr>
        <w:t xml:space="preserve"> - IPv6 address allocation volumes by RIR</w:t>
      </w:r>
    </w:p>
    <w:p w14:paraId="4DA85354" w14:textId="77777777" w:rsidR="00C304F2" w:rsidRDefault="00C304F2" w:rsidP="00C304F2"/>
    <w:p w14:paraId="2C0F3B11" w14:textId="6A01C48F" w:rsidR="00431669" w:rsidRDefault="00EA2238" w:rsidP="005306BB">
      <w:r w:rsidRPr="00EA2238">
        <w:t xml:space="preserve">Dividing addresses by allocations gives the average IPv6 allocation size in each region (Table 17). Overall, the average IPv6 allocation size is a /28, with the RIPE NCC and ARIN averaging larger individual IPv6 allocations than the other RIRs. Don't forget that a /31 is twice the size of a /32, and if you take the average allocation of the smallest of the RIR </w:t>
      </w:r>
      <w:r w:rsidRPr="00EA2238">
        <w:t>averages</w:t>
      </w:r>
      <w:r w:rsidRPr="00EA2238">
        <w:t xml:space="preserve">, LACNIC's 656 allocations </w:t>
      </w:r>
      <w:r>
        <w:t>with</w:t>
      </w:r>
      <w:r w:rsidRPr="00EA2238">
        <w:t xml:space="preserve"> a total of 575 /32s in 2024 as the unitary value, then the 2024 average IPv6 allocation </w:t>
      </w:r>
      <w:r>
        <w:t xml:space="preserve">made </w:t>
      </w:r>
      <w:r w:rsidRPr="00EA2238">
        <w:t xml:space="preserve">by AFRINIC was 34.7 times larger, the RIPE NCC was 6.2 times larger, ARIN was 6.9 times larger, and APNIC was 30 times larger. APNIC was an anomaly in 2024 due to the single extremely large </w:t>
      </w:r>
      <w:r>
        <w:t>a</w:t>
      </w:r>
      <w:r w:rsidRPr="00EA2238">
        <w:t xml:space="preserve">llocation, but the variance across the other </w:t>
      </w:r>
      <w:r>
        <w:t>four</w:t>
      </w:r>
      <w:r w:rsidRPr="00EA2238">
        <w:t xml:space="preserve"> RIRs appears to indicate some regional differences in the way IPv6 address allocations are processed by each RIR.</w:t>
      </w:r>
    </w:p>
    <w:p w14:paraId="786F0DB9" w14:textId="69F915C9" w:rsidR="00CF169F" w:rsidRDefault="00CF169F" w:rsidP="00F64BE3">
      <w:pPr>
        <w:ind w:left="720"/>
      </w:pPr>
    </w:p>
    <w:p w14:paraId="13C5B86F" w14:textId="11DB107E" w:rsidR="00F64BE3" w:rsidRPr="005306BB" w:rsidRDefault="00DF264E" w:rsidP="00F64BE3">
      <w:pPr>
        <w:ind w:left="720"/>
      </w:pPr>
      <w:r w:rsidRPr="00DF264E">
        <w:rPr>
          <w:noProof/>
        </w:rPr>
        <w:drawing>
          <wp:inline distT="0" distB="0" distL="0" distR="0" wp14:anchorId="1C146913" wp14:editId="3689DAFE">
            <wp:extent cx="5581650" cy="1078431"/>
            <wp:effectExtent l="0" t="0" r="0" b="1270"/>
            <wp:docPr id="1948980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80537" name=""/>
                    <pic:cNvPicPr/>
                  </pic:nvPicPr>
                  <pic:blipFill>
                    <a:blip r:embed="rId47"/>
                    <a:stretch>
                      <a:fillRect/>
                    </a:stretch>
                  </pic:blipFill>
                  <pic:spPr>
                    <a:xfrm>
                      <a:off x="0" y="0"/>
                      <a:ext cx="5658011" cy="1093185"/>
                    </a:xfrm>
                    <a:prstGeom prst="rect">
                      <a:avLst/>
                    </a:prstGeom>
                  </pic:spPr>
                </pic:pic>
              </a:graphicData>
            </a:graphic>
          </wp:inline>
        </w:drawing>
      </w:r>
    </w:p>
    <w:p w14:paraId="1C7F0DDD" w14:textId="77777777" w:rsidR="00806188" w:rsidRDefault="00806188" w:rsidP="00986DB8">
      <w:pPr>
        <w:ind w:left="720"/>
        <w:jc w:val="left"/>
        <w:rPr>
          <w:i/>
          <w:sz w:val="21"/>
          <w:szCs w:val="21"/>
        </w:rPr>
      </w:pPr>
    </w:p>
    <w:p w14:paraId="3EFFAD7A" w14:textId="000D6241" w:rsidR="00743295" w:rsidRPr="00986DB8" w:rsidRDefault="00CA6B68" w:rsidP="00986DB8">
      <w:pPr>
        <w:ind w:left="720"/>
        <w:jc w:val="left"/>
        <w:rPr>
          <w:i/>
          <w:sz w:val="21"/>
          <w:szCs w:val="21"/>
        </w:rPr>
      </w:pPr>
      <w:r>
        <w:rPr>
          <w:i/>
          <w:sz w:val="21"/>
          <w:szCs w:val="21"/>
        </w:rPr>
        <w:t>Table 1</w:t>
      </w:r>
      <w:r w:rsidR="00F64BE3">
        <w:rPr>
          <w:i/>
          <w:sz w:val="21"/>
          <w:szCs w:val="21"/>
        </w:rPr>
        <w:t>7</w:t>
      </w:r>
      <w:r w:rsidR="00743295" w:rsidRPr="00986DB8">
        <w:rPr>
          <w:i/>
          <w:sz w:val="21"/>
          <w:szCs w:val="21"/>
        </w:rPr>
        <w:t xml:space="preserve"> – Average IPv6 address allocation size by RIR</w:t>
      </w:r>
    </w:p>
    <w:p w14:paraId="16DD0997" w14:textId="77777777" w:rsidR="00CF169F" w:rsidRDefault="00CF169F" w:rsidP="00E12DA6"/>
    <w:p w14:paraId="50C6AA20" w14:textId="2F1FC31B" w:rsidR="00D65A6B" w:rsidRDefault="00D65A6B" w:rsidP="00E12DA6">
      <w:r>
        <w:t xml:space="preserve">The number </w:t>
      </w:r>
      <w:r w:rsidR="009F4666">
        <w:t xml:space="preserve">and volume </w:t>
      </w:r>
      <w:r>
        <w:t xml:space="preserve">of </w:t>
      </w:r>
      <w:r w:rsidR="009F4666">
        <w:t xml:space="preserve">IPv6 </w:t>
      </w:r>
      <w:r>
        <w:t xml:space="preserve">allocations per RIR per year is shown in </w:t>
      </w:r>
      <w:r w:rsidR="00CF4983">
        <w:t>Figures 1</w:t>
      </w:r>
      <w:r w:rsidR="00CC7626">
        <w:t>4</w:t>
      </w:r>
      <w:r w:rsidR="00CF4983">
        <w:t xml:space="preserve"> and 1</w:t>
      </w:r>
      <w:r w:rsidR="00CC7626">
        <w:t>5</w:t>
      </w:r>
      <w:r w:rsidR="009F4666">
        <w:t>.</w:t>
      </w:r>
    </w:p>
    <w:p w14:paraId="2B613A9C" w14:textId="77777777" w:rsidR="009F4666" w:rsidRDefault="009F4666" w:rsidP="00E12DA6"/>
    <w:p w14:paraId="5AE0F40C" w14:textId="573D8D29" w:rsidR="009F4666" w:rsidRDefault="00CC7626" w:rsidP="00986DB8">
      <w:pPr>
        <w:ind w:left="720"/>
      </w:pPr>
      <w:r>
        <w:rPr>
          <w:noProof/>
        </w:rPr>
        <w:lastRenderedPageBreak/>
        <w:drawing>
          <wp:inline distT="0" distB="0" distL="0" distR="0" wp14:anchorId="6F5D5567" wp14:editId="71B54111">
            <wp:extent cx="5753100" cy="4045447"/>
            <wp:effectExtent l="0" t="0" r="0" b="6350"/>
            <wp:docPr id="1512764469" name="Picture 2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64469" name="Picture 23" descr="A graph of different colored bars&#10;&#10;Description automatically generated"/>
                    <pic:cNvPicPr/>
                  </pic:nvPicPr>
                  <pic:blipFill>
                    <a:blip r:embed="rId48"/>
                    <a:stretch>
                      <a:fillRect/>
                    </a:stretch>
                  </pic:blipFill>
                  <pic:spPr>
                    <a:xfrm>
                      <a:off x="0" y="0"/>
                      <a:ext cx="5770802" cy="4057895"/>
                    </a:xfrm>
                    <a:prstGeom prst="rect">
                      <a:avLst/>
                    </a:prstGeom>
                  </pic:spPr>
                </pic:pic>
              </a:graphicData>
            </a:graphic>
          </wp:inline>
        </w:drawing>
      </w:r>
    </w:p>
    <w:p w14:paraId="5AC446E1" w14:textId="5E7C4886" w:rsidR="00555705" w:rsidRDefault="009F4666" w:rsidP="00986DB8">
      <w:pPr>
        <w:ind w:left="720"/>
        <w:rPr>
          <w:i/>
          <w:sz w:val="21"/>
          <w:szCs w:val="21"/>
        </w:rPr>
      </w:pPr>
      <w:r w:rsidRPr="00CD0FF2">
        <w:rPr>
          <w:i/>
          <w:sz w:val="21"/>
          <w:szCs w:val="21"/>
        </w:rPr>
        <w:t>Figu</w:t>
      </w:r>
      <w:r w:rsidR="00CF4983" w:rsidRPr="00CD0FF2">
        <w:rPr>
          <w:i/>
          <w:sz w:val="21"/>
          <w:szCs w:val="21"/>
        </w:rPr>
        <w:t>re 1</w:t>
      </w:r>
      <w:r w:rsidR="00CC7626">
        <w:rPr>
          <w:i/>
          <w:sz w:val="21"/>
          <w:szCs w:val="21"/>
        </w:rPr>
        <w:t>4</w:t>
      </w:r>
      <w:r w:rsidRPr="00CD0FF2">
        <w:rPr>
          <w:i/>
          <w:sz w:val="21"/>
          <w:szCs w:val="21"/>
        </w:rPr>
        <w:t xml:space="preserve"> – Number of </w:t>
      </w:r>
      <w:r w:rsidR="00CF4983" w:rsidRPr="00CD0FF2">
        <w:rPr>
          <w:i/>
          <w:sz w:val="21"/>
          <w:szCs w:val="21"/>
        </w:rPr>
        <w:t xml:space="preserve">IPv6 Allocations per year                    </w:t>
      </w:r>
      <w:r w:rsidR="00CD0FF2">
        <w:rPr>
          <w:i/>
          <w:sz w:val="21"/>
          <w:szCs w:val="21"/>
        </w:rPr>
        <w:t xml:space="preserve"> </w:t>
      </w:r>
      <w:r w:rsidR="00CF4983" w:rsidRPr="00CD0FF2">
        <w:rPr>
          <w:i/>
          <w:sz w:val="21"/>
          <w:szCs w:val="21"/>
        </w:rPr>
        <w:t xml:space="preserve">     </w:t>
      </w:r>
    </w:p>
    <w:p w14:paraId="4AF21BB6" w14:textId="7FD2441B" w:rsidR="00555705" w:rsidRDefault="00555705" w:rsidP="007D2106">
      <w:pPr>
        <w:rPr>
          <w:i/>
          <w:sz w:val="21"/>
          <w:szCs w:val="21"/>
        </w:rPr>
      </w:pPr>
    </w:p>
    <w:p w14:paraId="3251AF42" w14:textId="6C3BEF02" w:rsidR="00E049E2" w:rsidRDefault="008461ED" w:rsidP="00986DB8">
      <w:pPr>
        <w:ind w:left="720"/>
        <w:rPr>
          <w:i/>
          <w:sz w:val="21"/>
          <w:szCs w:val="21"/>
        </w:rPr>
      </w:pPr>
      <w:r>
        <w:rPr>
          <w:i/>
          <w:noProof/>
          <w:sz w:val="21"/>
          <w:szCs w:val="21"/>
        </w:rPr>
        <w:drawing>
          <wp:inline distT="0" distB="0" distL="0" distR="0" wp14:anchorId="524D0208" wp14:editId="4367F3D3">
            <wp:extent cx="5721690" cy="4023360"/>
            <wp:effectExtent l="0" t="0" r="6350" b="2540"/>
            <wp:docPr id="1703047631" name="Picture 24" descr="A graph of different colore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7631" name="Picture 24" descr="A graph of different colored columns&#10;&#10;Description automatically generated"/>
                    <pic:cNvPicPr/>
                  </pic:nvPicPr>
                  <pic:blipFill>
                    <a:blip r:embed="rId49"/>
                    <a:stretch>
                      <a:fillRect/>
                    </a:stretch>
                  </pic:blipFill>
                  <pic:spPr>
                    <a:xfrm>
                      <a:off x="0" y="0"/>
                      <a:ext cx="5750905" cy="4043903"/>
                    </a:xfrm>
                    <a:prstGeom prst="rect">
                      <a:avLst/>
                    </a:prstGeom>
                  </pic:spPr>
                </pic:pic>
              </a:graphicData>
            </a:graphic>
          </wp:inline>
        </w:drawing>
      </w:r>
    </w:p>
    <w:p w14:paraId="02FF475B" w14:textId="04106802" w:rsidR="009F4666" w:rsidRDefault="00CF4983" w:rsidP="00986DB8">
      <w:pPr>
        <w:ind w:left="720"/>
        <w:rPr>
          <w:i/>
          <w:sz w:val="21"/>
          <w:szCs w:val="21"/>
        </w:rPr>
      </w:pPr>
      <w:r w:rsidRPr="00CD0FF2">
        <w:rPr>
          <w:i/>
          <w:sz w:val="21"/>
          <w:szCs w:val="21"/>
        </w:rPr>
        <w:t>Figure 1</w:t>
      </w:r>
      <w:r w:rsidR="00CC7626">
        <w:rPr>
          <w:i/>
          <w:sz w:val="21"/>
          <w:szCs w:val="21"/>
        </w:rPr>
        <w:t>5</w:t>
      </w:r>
      <w:r w:rsidR="009F4666" w:rsidRPr="00CD0FF2">
        <w:rPr>
          <w:i/>
          <w:sz w:val="21"/>
          <w:szCs w:val="21"/>
        </w:rPr>
        <w:t xml:space="preserve"> – Volume of </w:t>
      </w:r>
      <w:r w:rsidRPr="00CD0FF2">
        <w:rPr>
          <w:i/>
          <w:sz w:val="21"/>
          <w:szCs w:val="21"/>
        </w:rPr>
        <w:t>IPv6 Allocations per year</w:t>
      </w:r>
    </w:p>
    <w:p w14:paraId="00D81253" w14:textId="7C43BB30" w:rsidR="002741EC" w:rsidRDefault="002741EC" w:rsidP="002741EC"/>
    <w:p w14:paraId="245675B8" w14:textId="0B25FB9B" w:rsidR="008573BB" w:rsidRDefault="002741EC" w:rsidP="002741EC">
      <w:r>
        <w:t xml:space="preserve">It might be tempting to ascribe the decline in 2020 of IPv6 allocations from the RIPE NCC to the year where many European countries were hit hard by COVID-19 measures. Arguing against that is the observation that countries all over the world have been similarly affected, yet the decline in IPv6 allocation activity in 2020 is only seen in the data from the RIPE NCC. However, it’s an interesting </w:t>
      </w:r>
      <w:r>
        <w:lastRenderedPageBreak/>
        <w:t xml:space="preserve">question to ask as to why the IPv6 address allocation activity has slumped in </w:t>
      </w:r>
      <w:r w:rsidR="00EA2238">
        <w:t>many</w:t>
      </w:r>
      <w:r>
        <w:t xml:space="preserve"> European economies</w:t>
      </w:r>
      <w:r w:rsidR="00EA2238">
        <w:t xml:space="preserve"> in subsequent years. Has the momentum for transition to IPv6 waned in that region?</w:t>
      </w:r>
      <w:r>
        <w:t xml:space="preserve"> (Table</w:t>
      </w:r>
      <w:r w:rsidR="00976240">
        <w:t>s</w:t>
      </w:r>
      <w:r>
        <w:t xml:space="preserve"> </w:t>
      </w:r>
      <w:r w:rsidR="00976240">
        <w:t xml:space="preserve">18 and </w:t>
      </w:r>
      <w:r>
        <w:t>19)</w:t>
      </w:r>
      <w:r w:rsidR="00512E8A">
        <w:t>.</w:t>
      </w:r>
      <w:r>
        <w:t xml:space="preserve"> </w:t>
      </w:r>
    </w:p>
    <w:p w14:paraId="60259CC9" w14:textId="77777777" w:rsidR="008461ED" w:rsidRPr="00CD0FF2" w:rsidRDefault="008461ED" w:rsidP="002741EC"/>
    <w:p w14:paraId="28D3A801" w14:textId="1F266FF4" w:rsidR="009F4666" w:rsidRDefault="00746F90" w:rsidP="00FB389B">
      <w:pPr>
        <w:ind w:left="720"/>
      </w:pPr>
      <w:r w:rsidRPr="00746F90">
        <w:rPr>
          <w:noProof/>
        </w:rPr>
        <w:drawing>
          <wp:inline distT="0" distB="0" distL="0" distR="0" wp14:anchorId="20A19672" wp14:editId="6E8ADCD2">
            <wp:extent cx="5595922" cy="1631950"/>
            <wp:effectExtent l="0" t="0" r="5080" b="0"/>
            <wp:docPr id="134381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15538" name=""/>
                    <pic:cNvPicPr/>
                  </pic:nvPicPr>
                  <pic:blipFill>
                    <a:blip r:embed="rId50"/>
                    <a:stretch>
                      <a:fillRect/>
                    </a:stretch>
                  </pic:blipFill>
                  <pic:spPr>
                    <a:xfrm>
                      <a:off x="0" y="0"/>
                      <a:ext cx="5699254" cy="1662085"/>
                    </a:xfrm>
                    <a:prstGeom prst="rect">
                      <a:avLst/>
                    </a:prstGeom>
                  </pic:spPr>
                </pic:pic>
              </a:graphicData>
            </a:graphic>
          </wp:inline>
        </w:drawing>
      </w:r>
    </w:p>
    <w:p w14:paraId="5C414E28" w14:textId="77777777" w:rsidR="00A41646" w:rsidRPr="00986DB8" w:rsidRDefault="00A41646" w:rsidP="00E12DA6">
      <w:pPr>
        <w:jc w:val="center"/>
        <w:rPr>
          <w:i/>
          <w:sz w:val="21"/>
          <w:szCs w:val="21"/>
        </w:rPr>
      </w:pPr>
    </w:p>
    <w:p w14:paraId="7A163C1D" w14:textId="5778D31B" w:rsidR="00E12DA6" w:rsidRPr="00986DB8" w:rsidRDefault="00CA6B68" w:rsidP="00CD0FF2">
      <w:pPr>
        <w:ind w:left="720"/>
        <w:rPr>
          <w:i/>
          <w:sz w:val="21"/>
          <w:szCs w:val="21"/>
        </w:rPr>
      </w:pPr>
      <w:r>
        <w:rPr>
          <w:i/>
          <w:sz w:val="21"/>
          <w:szCs w:val="21"/>
        </w:rPr>
        <w:t>Table 1</w:t>
      </w:r>
      <w:r w:rsidR="002B3546">
        <w:rPr>
          <w:i/>
          <w:sz w:val="21"/>
          <w:szCs w:val="21"/>
        </w:rPr>
        <w:t>8</w:t>
      </w:r>
      <w:r w:rsidR="00E12DA6" w:rsidRPr="00986DB8">
        <w:rPr>
          <w:i/>
          <w:sz w:val="21"/>
          <w:szCs w:val="21"/>
        </w:rPr>
        <w:t xml:space="preserve"> - IPv6 allocations by </w:t>
      </w:r>
      <w:r w:rsidR="0036709C">
        <w:rPr>
          <w:i/>
          <w:sz w:val="21"/>
          <w:szCs w:val="21"/>
        </w:rPr>
        <w:t xml:space="preserve">Year by </w:t>
      </w:r>
      <w:r w:rsidR="00E12DA6" w:rsidRPr="00986DB8">
        <w:rPr>
          <w:i/>
          <w:sz w:val="21"/>
          <w:szCs w:val="21"/>
        </w:rPr>
        <w:t>Economy</w:t>
      </w:r>
      <w:r w:rsidR="00DE206A" w:rsidRPr="00986DB8">
        <w:rPr>
          <w:i/>
          <w:sz w:val="21"/>
          <w:szCs w:val="21"/>
        </w:rPr>
        <w:t xml:space="preserve"> </w:t>
      </w:r>
    </w:p>
    <w:p w14:paraId="420D30E0" w14:textId="77777777" w:rsidR="00E12DA6" w:rsidRDefault="00E12DA6" w:rsidP="00E12DA6"/>
    <w:p w14:paraId="05F2737D" w14:textId="51E6ABB6" w:rsidR="005A4200" w:rsidRDefault="00CA6B68" w:rsidP="00E12DA6">
      <w:r>
        <w:t>Table 1</w:t>
      </w:r>
      <w:r w:rsidR="002B3546">
        <w:t>8</w:t>
      </w:r>
      <w:r w:rsidR="00EE5620">
        <w:t xml:space="preserve"> shows the countries who received the largest num</w:t>
      </w:r>
      <w:r w:rsidR="008C1B0A">
        <w:t xml:space="preserve">ber of </w:t>
      </w:r>
      <w:r w:rsidR="002B3546">
        <w:t xml:space="preserve">individual </w:t>
      </w:r>
      <w:r>
        <w:t>IPv6 allocations, while Table 1</w:t>
      </w:r>
      <w:r w:rsidR="002B3546">
        <w:t>9</w:t>
      </w:r>
      <w:r w:rsidR="00F2050C">
        <w:t xml:space="preserve"> shows the amount of IPv6 address space assigned on a per economy basis for the past </w:t>
      </w:r>
      <w:r w:rsidR="008461ED">
        <w:t>4</w:t>
      </w:r>
      <w:r w:rsidR="00F2050C">
        <w:t xml:space="preserve"> years (using units of /32s).</w:t>
      </w:r>
      <w:r w:rsidR="00EE5620">
        <w:t xml:space="preserve"> </w:t>
      </w:r>
    </w:p>
    <w:p w14:paraId="59350305" w14:textId="77777777" w:rsidR="00EA2238" w:rsidRDefault="00EA2238" w:rsidP="00E12DA6"/>
    <w:p w14:paraId="04EBC68D" w14:textId="44D32345" w:rsidR="00850577" w:rsidRPr="00986DB8" w:rsidRDefault="00FD05B0" w:rsidP="0036709C">
      <w:pPr>
        <w:ind w:left="720"/>
        <w:rPr>
          <w:sz w:val="21"/>
          <w:szCs w:val="21"/>
        </w:rPr>
      </w:pPr>
      <w:r w:rsidRPr="00FD05B0">
        <w:rPr>
          <w:sz w:val="21"/>
          <w:szCs w:val="21"/>
        </w:rPr>
        <w:drawing>
          <wp:inline distT="0" distB="0" distL="0" distR="0" wp14:anchorId="72FCEDD2" wp14:editId="57D86239">
            <wp:extent cx="5657850" cy="1440896"/>
            <wp:effectExtent l="0" t="0" r="0" b="0"/>
            <wp:docPr id="920431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31283" name=""/>
                    <pic:cNvPicPr/>
                  </pic:nvPicPr>
                  <pic:blipFill>
                    <a:blip r:embed="rId51"/>
                    <a:stretch>
                      <a:fillRect/>
                    </a:stretch>
                  </pic:blipFill>
                  <pic:spPr>
                    <a:xfrm>
                      <a:off x="0" y="0"/>
                      <a:ext cx="5692862" cy="1449813"/>
                    </a:xfrm>
                    <a:prstGeom prst="rect">
                      <a:avLst/>
                    </a:prstGeom>
                  </pic:spPr>
                </pic:pic>
              </a:graphicData>
            </a:graphic>
          </wp:inline>
        </w:drawing>
      </w:r>
    </w:p>
    <w:p w14:paraId="78D271F0" w14:textId="77777777" w:rsidR="00FD05B0" w:rsidRDefault="00FD05B0" w:rsidP="00CD0FF2">
      <w:pPr>
        <w:ind w:left="720"/>
        <w:rPr>
          <w:i/>
          <w:sz w:val="21"/>
          <w:szCs w:val="21"/>
        </w:rPr>
      </w:pPr>
    </w:p>
    <w:p w14:paraId="089E2407" w14:textId="233D116E" w:rsidR="009B5874" w:rsidRPr="00986DB8" w:rsidRDefault="00CA6B68" w:rsidP="00CD0FF2">
      <w:pPr>
        <w:ind w:left="720"/>
        <w:rPr>
          <w:i/>
          <w:sz w:val="21"/>
          <w:szCs w:val="21"/>
        </w:rPr>
      </w:pPr>
      <w:r>
        <w:rPr>
          <w:i/>
          <w:sz w:val="21"/>
          <w:szCs w:val="21"/>
        </w:rPr>
        <w:t>Table 1</w:t>
      </w:r>
      <w:r w:rsidR="002B3546">
        <w:rPr>
          <w:i/>
          <w:sz w:val="21"/>
          <w:szCs w:val="21"/>
        </w:rPr>
        <w:t>9</w:t>
      </w:r>
      <w:r w:rsidR="00743295" w:rsidRPr="00986DB8">
        <w:rPr>
          <w:i/>
          <w:sz w:val="21"/>
          <w:szCs w:val="21"/>
        </w:rPr>
        <w:t xml:space="preserve"> </w:t>
      </w:r>
      <w:r w:rsidR="009B5874" w:rsidRPr="00986DB8">
        <w:rPr>
          <w:i/>
          <w:sz w:val="21"/>
          <w:szCs w:val="21"/>
        </w:rPr>
        <w:t xml:space="preserve">- IPv6 Address Allocation Volumes by </w:t>
      </w:r>
      <w:r w:rsidR="0036709C">
        <w:rPr>
          <w:i/>
          <w:sz w:val="21"/>
          <w:szCs w:val="21"/>
        </w:rPr>
        <w:t xml:space="preserve">Year by </w:t>
      </w:r>
      <w:r w:rsidR="009B5874" w:rsidRPr="00986DB8">
        <w:rPr>
          <w:i/>
          <w:sz w:val="21"/>
          <w:szCs w:val="21"/>
        </w:rPr>
        <w:t>Economy</w:t>
      </w:r>
      <w:r w:rsidR="00883D0B" w:rsidRPr="00986DB8">
        <w:rPr>
          <w:i/>
          <w:sz w:val="21"/>
          <w:szCs w:val="21"/>
        </w:rPr>
        <w:t xml:space="preserve"> (/32s)</w:t>
      </w:r>
    </w:p>
    <w:p w14:paraId="58668AC3" w14:textId="77777777" w:rsidR="00EA2238" w:rsidRDefault="00EA2238" w:rsidP="0036709C"/>
    <w:p w14:paraId="1ED4B5B6" w14:textId="77777777" w:rsidR="009F4FDB" w:rsidRDefault="009F4FDB" w:rsidP="0036709C">
      <w:r w:rsidRPr="009F4FDB">
        <w:t>We can also look at the total IPv6 allocated address pools for top 25 IPv6-holding national economies (Table 20).</w:t>
      </w:r>
    </w:p>
    <w:p w14:paraId="00D00D0F" w14:textId="77777777" w:rsidR="00FD05B0" w:rsidRDefault="00FD05B0" w:rsidP="0036709C"/>
    <w:p w14:paraId="2E581B75" w14:textId="77777777" w:rsidR="00FD05B0" w:rsidRDefault="00FD05B0" w:rsidP="00FD05B0">
      <w:r>
        <w:t xml:space="preserve">While the United States tops this list of the total pool of allocated IPv6 addresses, with some 31% of the total span of allocated IPv6 addresses, the per capita number is lower than others in this list (Netherlands, Sweden, Switzerland). </w:t>
      </w:r>
      <w:r w:rsidRPr="00CE4783">
        <w:t>In 2023 ARIN allocated a /16 address block to Capital One Financial Cooperation, one of the larger banks in the United States with a large credit card base in retail operations.</w:t>
      </w:r>
      <w:r>
        <w:t xml:space="preserve"> In 2024 APNIC allocated a /17 to Huawei International, with a corporate location in Singapore.</w:t>
      </w:r>
    </w:p>
    <w:p w14:paraId="015ED683" w14:textId="77777777" w:rsidR="00FD05B0" w:rsidRDefault="00FD05B0" w:rsidP="0036709C"/>
    <w:p w14:paraId="00D7EA43" w14:textId="10651489" w:rsidR="00AA44A0" w:rsidRDefault="00CE4783" w:rsidP="00AA44A0">
      <w:pPr>
        <w:ind w:left="720"/>
        <w:rPr>
          <w:i/>
          <w:sz w:val="21"/>
          <w:szCs w:val="21"/>
        </w:rPr>
      </w:pPr>
      <w:r w:rsidRPr="00CE4783">
        <w:rPr>
          <w:i/>
          <w:noProof/>
          <w:sz w:val="21"/>
          <w:szCs w:val="21"/>
        </w:rPr>
        <w:lastRenderedPageBreak/>
        <w:drawing>
          <wp:inline distT="0" distB="0" distL="0" distR="0" wp14:anchorId="10D18039" wp14:editId="39248877">
            <wp:extent cx="4508500" cy="3892513"/>
            <wp:effectExtent l="0" t="0" r="0" b="0"/>
            <wp:docPr id="19132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2043" name=""/>
                    <pic:cNvPicPr/>
                  </pic:nvPicPr>
                  <pic:blipFill>
                    <a:blip r:embed="rId52"/>
                    <a:stretch>
                      <a:fillRect/>
                    </a:stretch>
                  </pic:blipFill>
                  <pic:spPr>
                    <a:xfrm>
                      <a:off x="0" y="0"/>
                      <a:ext cx="4529602" cy="3910732"/>
                    </a:xfrm>
                    <a:prstGeom prst="rect">
                      <a:avLst/>
                    </a:prstGeom>
                  </pic:spPr>
                </pic:pic>
              </a:graphicData>
            </a:graphic>
          </wp:inline>
        </w:drawing>
      </w:r>
    </w:p>
    <w:p w14:paraId="7642BA32" w14:textId="77777777" w:rsidR="00AA44A0" w:rsidRDefault="00AA44A0" w:rsidP="00AA44A0">
      <w:pPr>
        <w:ind w:left="720"/>
        <w:rPr>
          <w:i/>
          <w:sz w:val="21"/>
          <w:szCs w:val="21"/>
        </w:rPr>
      </w:pPr>
    </w:p>
    <w:p w14:paraId="25093A5B" w14:textId="6C8AE13E" w:rsidR="00AD59FF" w:rsidRDefault="00AA44A0" w:rsidP="00AA44A0">
      <w:pPr>
        <w:ind w:left="720"/>
        <w:rPr>
          <w:i/>
          <w:sz w:val="21"/>
          <w:szCs w:val="21"/>
        </w:rPr>
      </w:pPr>
      <w:r w:rsidRPr="00986DB8">
        <w:rPr>
          <w:i/>
          <w:sz w:val="21"/>
          <w:szCs w:val="21"/>
        </w:rPr>
        <w:t xml:space="preserve">Table </w:t>
      </w:r>
      <w:r>
        <w:rPr>
          <w:i/>
          <w:sz w:val="21"/>
          <w:szCs w:val="21"/>
        </w:rPr>
        <w:t>20 – IPv6 Allocated Address pools per National Economy – December 202</w:t>
      </w:r>
      <w:r w:rsidR="00746F90">
        <w:rPr>
          <w:i/>
          <w:sz w:val="21"/>
          <w:szCs w:val="21"/>
        </w:rPr>
        <w:t>4</w:t>
      </w:r>
    </w:p>
    <w:p w14:paraId="5D78A32D" w14:textId="1A7C9B0A" w:rsidR="009548E7" w:rsidRDefault="009548E7" w:rsidP="00AD59FF"/>
    <w:p w14:paraId="45E3BBEC" w14:textId="5FD983E3" w:rsidR="002B3D68" w:rsidRDefault="00512E8A" w:rsidP="00BF1598">
      <w:pPr>
        <w:pStyle w:val="Sidebar"/>
      </w:pPr>
      <w:r>
        <w:t xml:space="preserve">Some twenty years ago it was common practice to point out the inequities in the state of IPv4 address deployment. </w:t>
      </w:r>
      <w:r w:rsidR="002F73F7">
        <w:t>At the time, s</w:t>
      </w:r>
      <w:r>
        <w:t>ome US universities had more IPv4 addresses at their disposal than some highly populated developing economies, and the disparity was a part of the criticism of the address management practices</w:t>
      </w:r>
      <w:r w:rsidR="002F73F7">
        <w:t xml:space="preserve"> that were used at the time</w:t>
      </w:r>
      <w:r>
        <w:t>. The RIR system was intended to address this issue of predisposition to a biased outcome. The concept behind the system that within the regional community each community had the ability to develop their own address distribution policies and could determine for themselves what they meant by such terms as “fairness” and “equity” and then direct their regional address registry to implement these policies. While IPv4 had a very evident early adopter reward, in that the address allocations in the IPv4 class-based address plan could be quite extravagant, the idea was that in IPv6</w:t>
      </w:r>
      <w:r w:rsidR="009548E7">
        <w:t>,</w:t>
      </w:r>
      <w:r>
        <w:t xml:space="preserve"> where the address allocations were developed from the outset through local </w:t>
      </w:r>
      <w:r w:rsidR="009548E7">
        <w:t>bottom-up policy determinate frameworks, such evident inequities in the outcome would be avoided</w:t>
      </w:r>
      <w:r w:rsidR="002F73F7">
        <w:t>, or so it was hoped</w:t>
      </w:r>
      <w:r w:rsidR="009548E7">
        <w:t>. It was also envisaged that with such a vast address plan provided by 128 bits of address space, the entire concept of scarcity and inequity would be largely irrelevant. 2</w:t>
      </w:r>
      <w:r w:rsidR="009548E7" w:rsidRPr="009548E7">
        <w:rPr>
          <w:vertAlign w:val="superscript"/>
        </w:rPr>
        <w:t>128</w:t>
      </w:r>
      <w:r w:rsidR="009548E7">
        <w:t xml:space="preserve"> is a vast number and the entire concept of comparison between two vast pools of addresses is somewhat irrelevant. So</w:t>
      </w:r>
      <w:r w:rsidR="002F73F7">
        <w:t>,</w:t>
      </w:r>
      <w:r w:rsidR="009548E7">
        <w:t xml:space="preserve"> when we look at the metric of /48s per head of population</w:t>
      </w:r>
      <w:r w:rsidR="002F73F7">
        <w:t>,</w:t>
      </w:r>
      <w:r w:rsidR="009548E7">
        <w:t xml:space="preserve"> don’t forget that a /48 is actually</w:t>
      </w:r>
      <w:r w:rsidR="002B3D68">
        <w:t xml:space="preserve"> 80 bits of address space, which is massively</w:t>
      </w:r>
      <w:r w:rsidR="009548E7">
        <w:t xml:space="preserve"> larger than the entire IPv4 address space. Even India’s average of 0.</w:t>
      </w:r>
      <w:r w:rsidR="00BF1598">
        <w:t>3</w:t>
      </w:r>
      <w:r w:rsidR="009548E7">
        <w:t xml:space="preserve"> /48s per capita is still </w:t>
      </w:r>
      <w:r w:rsidR="002B3D68">
        <w:t>a truly massive number of</w:t>
      </w:r>
      <w:r w:rsidR="009548E7">
        <w:t xml:space="preserve"> IPv6 addresses! </w:t>
      </w:r>
    </w:p>
    <w:p w14:paraId="2B48B495" w14:textId="77777777" w:rsidR="002B3D68" w:rsidRDefault="002B3D68" w:rsidP="00BF1598">
      <w:pPr>
        <w:pStyle w:val="Sidebar"/>
      </w:pPr>
    </w:p>
    <w:p w14:paraId="768763BB" w14:textId="3E341204" w:rsidR="00AD59FF" w:rsidRDefault="009548E7" w:rsidP="00BF1598">
      <w:pPr>
        <w:pStyle w:val="Sidebar"/>
      </w:pPr>
      <w:r>
        <w:t>However, before we go too far down this path it is also useful to bear in mind that the 128 bits of address space in I</w:t>
      </w:r>
      <w:r w:rsidR="002B3D68">
        <w:t>P</w:t>
      </w:r>
      <w:r>
        <w:t>v6 has become largely a myth. We sliced off 64 bits in the address p</w:t>
      </w:r>
      <w:r w:rsidR="002F73F7">
        <w:t>l</w:t>
      </w:r>
      <w:r>
        <w:t xml:space="preserve">an for no particularly good </w:t>
      </w:r>
      <w:r>
        <w:lastRenderedPageBreak/>
        <w:t xml:space="preserve">reason, as it turns out. We then sliced off a further </w:t>
      </w:r>
      <w:r w:rsidR="002F73F7">
        <w:t>16</w:t>
      </w:r>
      <w:r>
        <w:t xml:space="preserve"> bits for again no particularly good reason</w:t>
      </w:r>
      <w:r w:rsidR="002F73F7">
        <w:t>. 16 bits for end site addresses allows for some 65,000 distinct networks within each site, which is somewhat outlandish in pretty much every case</w:t>
      </w:r>
      <w:r>
        <w:t xml:space="preserve">. </w:t>
      </w:r>
      <w:r w:rsidR="002F73F7">
        <w:t>T</w:t>
      </w:r>
      <w:r>
        <w:t xml:space="preserve">he </w:t>
      </w:r>
      <w:r w:rsidR="002F73F7">
        <w:t xml:space="preserve">result is that the </w:t>
      </w:r>
      <w:r>
        <w:t xml:space="preserve">vastness of the address space represented by 128 bits in IPv6 is </w:t>
      </w:r>
      <w:r w:rsidR="002B3D68">
        <w:t>in fact not so vast</w:t>
      </w:r>
      <w:r w:rsidR="002F73F7">
        <w:t xml:space="preserve"> in practice</w:t>
      </w:r>
      <w:r w:rsidR="0024253B">
        <w:t>. T</w:t>
      </w:r>
      <w:r w:rsidR="002B3D68">
        <w:t xml:space="preserve">he usable address prefix space in IPv4 roughly equates a /32 end address in IPv4 with around a /48 </w:t>
      </w:r>
      <w:r w:rsidR="0024253B">
        <w:t>prefix</w:t>
      </w:r>
      <w:r w:rsidR="002B3D68">
        <w:t xml:space="preserve"> in IPv6.  So perhaps this comparison of /48s per capita is not entirely fanciful, and there is some substance to the observation that there are inequities in the address distribution in IPv6 so far. However, unlike IPv4, the exhaustion of the IPv6 address space is still quite some time off, and we still believe that there are sufficient IPv6 addresses to support a uniform address utilisation model across the entire world of silicon over time.</w:t>
      </w:r>
    </w:p>
    <w:p w14:paraId="6EA3E636" w14:textId="20C39FC1" w:rsidR="002F73F7" w:rsidRDefault="002F73F7" w:rsidP="00BF1598">
      <w:pPr>
        <w:pStyle w:val="Sidebar"/>
      </w:pPr>
    </w:p>
    <w:p w14:paraId="0BD46597" w14:textId="06720D6A" w:rsidR="002F73F7" w:rsidRDefault="002F73F7" w:rsidP="00BF1598">
      <w:pPr>
        <w:pStyle w:val="Sidebar"/>
      </w:pPr>
      <w:r>
        <w:t xml:space="preserve">There is a larger question about the underlying </w:t>
      </w:r>
      <w:r w:rsidR="00FE5C9F">
        <w:t>networking paradigm</w:t>
      </w:r>
      <w:r>
        <w:t xml:space="preserve"> in today’s </w:t>
      </w:r>
      <w:r w:rsidR="00054DC1">
        <w:t xml:space="preserve">public </w:t>
      </w:r>
      <w:r>
        <w:t>network. IPv6 attempts to restore the 1980’s networking paradig</w:t>
      </w:r>
      <w:r w:rsidR="00A41EBE">
        <w:t>m of a true peer-to-peer network where every connected device is capable of sending packets to any other connected device.</w:t>
      </w:r>
      <w:r w:rsidR="00FE5C9F">
        <w:t xml:space="preserve"> However</w:t>
      </w:r>
      <w:r w:rsidR="00685D29">
        <w:t>,</w:t>
      </w:r>
      <w:r w:rsidR="00FE5C9F">
        <w:t xml:space="preserve"> today’s network</w:t>
      </w:r>
      <w:r w:rsidR="00054DC1">
        <w:t>ed environment</w:t>
      </w:r>
      <w:r w:rsidR="00FE5C9F">
        <w:t xml:space="preserve"> regards such unconstrained connectivity as a liability</w:t>
      </w:r>
      <w:r w:rsidR="00685D29">
        <w:t>. Exposing an end client device is regarded as being unnecessarily foolhardy, and today’s network paradigm relies on client-initiated transactions. This is well-suited to NAT-based IPv4 connectivity</w:t>
      </w:r>
      <w:r w:rsidR="00054DC1">
        <w:t xml:space="preserve">, and the question regarding the </w:t>
      </w:r>
      <w:r w:rsidR="00BF1598">
        <w:t>long-term</w:t>
      </w:r>
      <w:r w:rsidR="00054DC1">
        <w:t xml:space="preserve"> future of an IPv6 Internet is whether we want to bear the </w:t>
      </w:r>
      <w:r w:rsidR="00087296">
        <w:t xml:space="preserve">costs of maintaining end-client unique addressing plans, or whether NATs in IPv6 might prove to be a most cost-effective service platform for the client side of client/server networks. </w:t>
      </w:r>
    </w:p>
    <w:p w14:paraId="6A585082" w14:textId="29A3F7E6" w:rsidR="0036709C" w:rsidRDefault="0036709C" w:rsidP="00203DE0">
      <w:pPr>
        <w:rPr>
          <w:i/>
          <w:sz w:val="21"/>
          <w:szCs w:val="21"/>
        </w:rPr>
      </w:pPr>
    </w:p>
    <w:p w14:paraId="255A28C5" w14:textId="77777777" w:rsidR="0036709C" w:rsidRDefault="0036709C" w:rsidP="0036709C">
      <w:pPr>
        <w:ind w:left="720"/>
        <w:rPr>
          <w:i/>
          <w:sz w:val="21"/>
          <w:szCs w:val="21"/>
        </w:rPr>
      </w:pPr>
    </w:p>
    <w:p w14:paraId="5B4428D4" w14:textId="7E933675" w:rsidR="008C1B0A" w:rsidRDefault="004079CF" w:rsidP="008E4C69">
      <w:r>
        <w:t xml:space="preserve">To what extent are allocated IPv6 addresses visible as advertised </w:t>
      </w:r>
      <w:r w:rsidR="00032CE7">
        <w:t xml:space="preserve">prefixes </w:t>
      </w:r>
      <w:r>
        <w:t>in the Internet’s routing table?</w:t>
      </w:r>
    </w:p>
    <w:p w14:paraId="73D130E0" w14:textId="77777777" w:rsidR="00893542" w:rsidRDefault="00893542" w:rsidP="008E4C69"/>
    <w:p w14:paraId="34634B24" w14:textId="62119BD1" w:rsidR="007E51E6" w:rsidRDefault="00893542" w:rsidP="008E4C69">
      <w:r>
        <w:t>Figure 1</w:t>
      </w:r>
      <w:r w:rsidR="002D3104">
        <w:t>6</w:t>
      </w:r>
      <w:r>
        <w:t xml:space="preserve"> shows the overall counts of advertised, unadvertised and total allocated address volume for IPv6 since </w:t>
      </w:r>
      <w:r w:rsidR="007E51E6">
        <w:t>2010</w:t>
      </w:r>
      <w:r w:rsidR="00F44993">
        <w:t>, while Figure 1</w:t>
      </w:r>
      <w:r w:rsidR="009F4FDB">
        <w:t>7</w:t>
      </w:r>
      <w:r w:rsidR="00F44993">
        <w:t xml:space="preserve"> shows the advertised address span as a percentage of the total span of allocated and assigned IPv6 addresses</w:t>
      </w:r>
      <w:r w:rsidR="00390E93">
        <w:t>.</w:t>
      </w:r>
    </w:p>
    <w:p w14:paraId="08D5C75D" w14:textId="17D1A1E7" w:rsidR="00893542" w:rsidRDefault="002D3104" w:rsidP="00893542">
      <w:pPr>
        <w:ind w:left="720"/>
      </w:pPr>
      <w:r>
        <w:rPr>
          <w:noProof/>
        </w:rPr>
        <w:drawing>
          <wp:inline distT="0" distB="0" distL="0" distR="0" wp14:anchorId="603CE851" wp14:editId="2F8F9B8B">
            <wp:extent cx="5172710" cy="3325314"/>
            <wp:effectExtent l="0" t="0" r="0" b="2540"/>
            <wp:docPr id="9343561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56183" name="Picture 934356183"/>
                    <pic:cNvPicPr/>
                  </pic:nvPicPr>
                  <pic:blipFill>
                    <a:blip r:embed="rId53"/>
                    <a:stretch>
                      <a:fillRect/>
                    </a:stretch>
                  </pic:blipFill>
                  <pic:spPr>
                    <a:xfrm>
                      <a:off x="0" y="0"/>
                      <a:ext cx="5203587" cy="3345164"/>
                    </a:xfrm>
                    <a:prstGeom prst="rect">
                      <a:avLst/>
                    </a:prstGeom>
                  </pic:spPr>
                </pic:pic>
              </a:graphicData>
            </a:graphic>
          </wp:inline>
        </w:drawing>
      </w:r>
    </w:p>
    <w:p w14:paraId="519910D7" w14:textId="3F4E7F4A" w:rsidR="00A074C4" w:rsidRPr="00F44993" w:rsidRDefault="00893542" w:rsidP="00F44993">
      <w:pPr>
        <w:ind w:left="720"/>
        <w:rPr>
          <w:i/>
          <w:sz w:val="21"/>
          <w:szCs w:val="21"/>
        </w:rPr>
      </w:pPr>
      <w:r>
        <w:rPr>
          <w:i/>
          <w:sz w:val="21"/>
          <w:szCs w:val="21"/>
        </w:rPr>
        <w:t>Figure 1</w:t>
      </w:r>
      <w:r w:rsidR="002D3104">
        <w:rPr>
          <w:i/>
          <w:sz w:val="21"/>
          <w:szCs w:val="21"/>
        </w:rPr>
        <w:t>6</w:t>
      </w:r>
      <w:r w:rsidRPr="00893542">
        <w:rPr>
          <w:i/>
          <w:sz w:val="21"/>
          <w:szCs w:val="21"/>
        </w:rPr>
        <w:t xml:space="preserve"> – </w:t>
      </w:r>
      <w:r>
        <w:rPr>
          <w:i/>
          <w:sz w:val="21"/>
          <w:szCs w:val="21"/>
        </w:rPr>
        <w:t>Allocated</w:t>
      </w:r>
      <w:r w:rsidR="006A2F7A">
        <w:rPr>
          <w:i/>
          <w:sz w:val="21"/>
          <w:szCs w:val="21"/>
        </w:rPr>
        <w:t>, U</w:t>
      </w:r>
      <w:r>
        <w:rPr>
          <w:i/>
          <w:sz w:val="21"/>
          <w:szCs w:val="21"/>
        </w:rPr>
        <w:t>nadvertised and Advertised IPv6 addresses</w:t>
      </w:r>
    </w:p>
    <w:p w14:paraId="6F17D89E" w14:textId="5252ECD6" w:rsidR="006A2F7A" w:rsidRDefault="006A2F7A" w:rsidP="00A074C4"/>
    <w:p w14:paraId="1F7545DE" w14:textId="009C3E19" w:rsidR="00893542" w:rsidRDefault="00D627DF" w:rsidP="00893542">
      <w:pPr>
        <w:ind w:left="720"/>
      </w:pPr>
      <w:r>
        <w:rPr>
          <w:noProof/>
        </w:rPr>
        <w:drawing>
          <wp:inline distT="0" distB="0" distL="0" distR="0" wp14:anchorId="050706DF" wp14:editId="5BA16226">
            <wp:extent cx="6116320" cy="3931920"/>
            <wp:effectExtent l="0" t="0" r="5080" b="5080"/>
            <wp:docPr id="21078273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7376" name="Picture 2107827376"/>
                    <pic:cNvPicPr/>
                  </pic:nvPicPr>
                  <pic:blipFill>
                    <a:blip r:embed="rId54"/>
                    <a:stretch>
                      <a:fillRect/>
                    </a:stretch>
                  </pic:blipFill>
                  <pic:spPr>
                    <a:xfrm>
                      <a:off x="0" y="0"/>
                      <a:ext cx="6116320" cy="3931920"/>
                    </a:xfrm>
                    <a:prstGeom prst="rect">
                      <a:avLst/>
                    </a:prstGeom>
                  </pic:spPr>
                </pic:pic>
              </a:graphicData>
            </a:graphic>
          </wp:inline>
        </w:drawing>
      </w:r>
    </w:p>
    <w:p w14:paraId="12AF56B4" w14:textId="01A66809" w:rsidR="006A2F7A" w:rsidRPr="00893542" w:rsidRDefault="006A2F7A" w:rsidP="006A2F7A">
      <w:pPr>
        <w:ind w:left="720"/>
        <w:rPr>
          <w:i/>
          <w:sz w:val="21"/>
          <w:szCs w:val="21"/>
        </w:rPr>
      </w:pPr>
      <w:r>
        <w:rPr>
          <w:i/>
          <w:sz w:val="21"/>
          <w:szCs w:val="21"/>
        </w:rPr>
        <w:t>Figure 1</w:t>
      </w:r>
      <w:r w:rsidR="00D627DF">
        <w:rPr>
          <w:i/>
          <w:sz w:val="21"/>
          <w:szCs w:val="21"/>
        </w:rPr>
        <w:t>7</w:t>
      </w:r>
      <w:r w:rsidRPr="00893542">
        <w:rPr>
          <w:i/>
          <w:sz w:val="21"/>
          <w:szCs w:val="21"/>
        </w:rPr>
        <w:t xml:space="preserve"> –</w:t>
      </w:r>
      <w:r w:rsidR="009F4FDB">
        <w:rPr>
          <w:i/>
          <w:sz w:val="21"/>
          <w:szCs w:val="21"/>
        </w:rPr>
        <w:t xml:space="preserve"> Unadvertised Address Ratio for IPv6 and IPv4</w:t>
      </w:r>
    </w:p>
    <w:p w14:paraId="63C869CB" w14:textId="4F2396DF" w:rsidR="008F101A" w:rsidRDefault="008F101A" w:rsidP="008F101A"/>
    <w:p w14:paraId="289E79A9" w14:textId="5B1B5E1C" w:rsidR="00987B9F" w:rsidRDefault="00987B9F" w:rsidP="00987B9F">
      <w:r>
        <w:t>The drop in the allocated address span in 2013 is the result of a change in LACNIC where a single large allocation into Brazil was replaced by the recording of direct allocation and assignments to ISPs and similar end entities.</w:t>
      </w:r>
    </w:p>
    <w:p w14:paraId="62AE071C" w14:textId="77777777" w:rsidR="00987B9F" w:rsidRDefault="00987B9F" w:rsidP="00987B9F"/>
    <w:p w14:paraId="31820076" w14:textId="60BB6A69" w:rsidR="001868A6" w:rsidRDefault="00F44993" w:rsidP="008F101A">
      <w:r>
        <w:t xml:space="preserve">From a history of careful conservation of IPv4 addresses, where some </w:t>
      </w:r>
      <w:r w:rsidR="00D627DF">
        <w:t>85</w:t>
      </w:r>
      <w:r>
        <w:t xml:space="preserve">% of allocated or assigned IPv4 addresses are advertised in the BGP routing table, a comparable </w:t>
      </w:r>
      <w:r w:rsidR="005E02A5">
        <w:t xml:space="preserve">IPv6 </w:t>
      </w:r>
      <w:r>
        <w:t xml:space="preserve">figure of </w:t>
      </w:r>
      <w:r w:rsidR="009C26D9">
        <w:t>3</w:t>
      </w:r>
      <w:r w:rsidR="00D627DF">
        <w:t>4</w:t>
      </w:r>
      <w:r>
        <w:t>%</w:t>
      </w:r>
      <w:r w:rsidR="00987B9F">
        <w:t xml:space="preserve"> does not look all that impressive.</w:t>
      </w:r>
      <w:r>
        <w:t xml:space="preserve"> But that's not the point. </w:t>
      </w:r>
      <w:r w:rsidR="00987B9F">
        <w:t>We</w:t>
      </w:r>
      <w:r>
        <w:t xml:space="preserve"> chose the 128-bit address size </w:t>
      </w:r>
      <w:r w:rsidR="00987B9F">
        <w:t xml:space="preserve">in IPv6 </w:t>
      </w:r>
      <w:r>
        <w:t>to allow addresses to be used without overriding concerns about conservation. We</w:t>
      </w:r>
      <w:r w:rsidR="008C7595">
        <w:t>’</w:t>
      </w:r>
      <w:r>
        <w:t>re allowed to be inefficient in address utilisation</w:t>
      </w:r>
      <w:r w:rsidR="008C7595">
        <w:t xml:space="preserve"> in IPv6!</w:t>
      </w:r>
    </w:p>
    <w:p w14:paraId="54CC6D15" w14:textId="77777777" w:rsidR="001868A6" w:rsidRDefault="001868A6" w:rsidP="008F101A"/>
    <w:p w14:paraId="455ECE07" w14:textId="3DF11584" w:rsidR="006508CB" w:rsidRDefault="00E2573C" w:rsidP="006508CB">
      <w:r>
        <w:t>At the start of 202</w:t>
      </w:r>
      <w:r w:rsidR="00D627DF">
        <w:t>5</w:t>
      </w:r>
      <w:r w:rsidR="00F44993">
        <w:t xml:space="preserve"> we</w:t>
      </w:r>
      <w:r w:rsidR="008C7595">
        <w:t>’</w:t>
      </w:r>
      <w:r w:rsidR="00F44993">
        <w:t>ve advertised an IPv6 address span which is the equivalent of some 1</w:t>
      </w:r>
      <w:r w:rsidR="00D627DF">
        <w:t>60</w:t>
      </w:r>
      <w:r w:rsidR="00F44993">
        <w:t xml:space="preserve">,000 /32s, or some </w:t>
      </w:r>
      <w:r w:rsidR="00D627DF">
        <w:t>10.5</w:t>
      </w:r>
      <w:r w:rsidR="00F44993">
        <w:t xml:space="preserve"> billion end</w:t>
      </w:r>
      <w:r w:rsidR="009B53FF">
        <w:t>-</w:t>
      </w:r>
      <w:r w:rsidR="00F44993">
        <w:t>site /48 prefixes.</w:t>
      </w:r>
      <w:r w:rsidR="009B53FF">
        <w:t xml:space="preserve"> That is just 0.00</w:t>
      </w:r>
      <w:r w:rsidR="00D627DF">
        <w:t>37</w:t>
      </w:r>
      <w:r w:rsidR="009B53FF">
        <w:t>% of the total number of /48 prefixes in IPv6.</w:t>
      </w:r>
    </w:p>
    <w:p w14:paraId="0FE1D3C0" w14:textId="7C3B2F22" w:rsidR="00675578" w:rsidRDefault="00E12DA6" w:rsidP="00F136A8">
      <w:pPr>
        <w:pStyle w:val="Heading1"/>
      </w:pPr>
      <w:r>
        <w:t>The Outlook for the Internet</w:t>
      </w:r>
    </w:p>
    <w:p w14:paraId="2B6288E0" w14:textId="77777777" w:rsidR="005201E4" w:rsidRPr="005201E4" w:rsidRDefault="005201E4" w:rsidP="005201E4"/>
    <w:p w14:paraId="763D9815" w14:textId="323AABE9" w:rsidR="00BF74EC" w:rsidRDefault="00BF74EC" w:rsidP="005F7393">
      <w:r>
        <w:t xml:space="preserve">Once more the set of uncertainties that surround the immediate future of the Internet are considerably greater than </w:t>
      </w:r>
      <w:r w:rsidR="009353C9">
        <w:t xml:space="preserve">the set of predictions that </w:t>
      </w:r>
      <w:r>
        <w:t>we can be reasonably certain about.</w:t>
      </w:r>
    </w:p>
    <w:p w14:paraId="0B05DE2F" w14:textId="77777777" w:rsidR="00BF74EC" w:rsidRDefault="00BF74EC" w:rsidP="00E12DA6"/>
    <w:p w14:paraId="3439135E" w14:textId="1EEFF2B9" w:rsidR="00CD44EE" w:rsidRDefault="00DA27F8" w:rsidP="00834515">
      <w:r>
        <w:t xml:space="preserve">The year </w:t>
      </w:r>
      <w:r w:rsidR="005201E4">
        <w:t>2017 saw a sharp rise in IPv6 deployment, influenced to a major extent by the deployment of IPv6 services in India, notably by the</w:t>
      </w:r>
      <w:r w:rsidR="00CD44EE">
        <w:t xml:space="preserve"> Reliance</w:t>
      </w:r>
      <w:r w:rsidR="005201E4">
        <w:t xml:space="preserve"> Jio</w:t>
      </w:r>
      <w:r w:rsidR="005704ED">
        <w:t xml:space="preserve"> mobile</w:t>
      </w:r>
      <w:r w:rsidR="005201E4">
        <w:t xml:space="preserve"> service. </w:t>
      </w:r>
      <w:r w:rsidR="008253A5">
        <w:t xml:space="preserve">The next year, </w:t>
      </w:r>
      <w:r w:rsidR="005201E4">
        <w:t>2018</w:t>
      </w:r>
      <w:r w:rsidR="008253A5">
        <w:t>,</w:t>
      </w:r>
      <w:r w:rsidR="005201E4">
        <w:t xml:space="preserve"> </w:t>
      </w:r>
      <w:r>
        <w:t>w</w:t>
      </w:r>
      <w:r w:rsidR="005201E4">
        <w:t xml:space="preserve">as a quieter year, although the rise in the second half of the year is due to the initial </w:t>
      </w:r>
      <w:r w:rsidR="008253A5">
        <w:t xml:space="preserve">efforts </w:t>
      </w:r>
      <w:r w:rsidR="005201E4">
        <w:t xml:space="preserve">of mass scale IPv6 deployment </w:t>
      </w:r>
      <w:r w:rsidR="005704ED">
        <w:t>by some</w:t>
      </w:r>
      <w:r w:rsidR="005201E4">
        <w:t xml:space="preserve"> major Chinese service providers.</w:t>
      </w:r>
      <w:r w:rsidR="007C78DB">
        <w:t xml:space="preserve"> This </w:t>
      </w:r>
      <w:r>
        <w:t xml:space="preserve">movement </w:t>
      </w:r>
      <w:r w:rsidR="007C78DB">
        <w:t>accelerated in 2019 and t</w:t>
      </w:r>
      <w:r>
        <w:t>h</w:t>
      </w:r>
      <w:r w:rsidR="007C78DB">
        <w:t xml:space="preserve">e </w:t>
      </w:r>
      <w:r w:rsidR="00E90AE4">
        <w:t xml:space="preserve">overall move of </w:t>
      </w:r>
      <w:r w:rsidR="005704ED">
        <w:t>a further</w:t>
      </w:r>
      <w:r w:rsidR="00E90AE4">
        <w:t xml:space="preserve"> 5% in I</w:t>
      </w:r>
      <w:r w:rsidR="00BB4547">
        <w:t>P</w:t>
      </w:r>
      <w:r w:rsidR="00E90AE4">
        <w:t>v6 deployment levels ha</w:t>
      </w:r>
      <w:r w:rsidR="00F71E62">
        <w:t>d</w:t>
      </w:r>
      <w:r w:rsidR="00E90AE4">
        <w:t xml:space="preserve"> a lot to do with the </w:t>
      </w:r>
      <w:r w:rsidR="009216FC">
        <w:t>very rapid rise of the deployment of IPv6 in China</w:t>
      </w:r>
      <w:r w:rsidR="008253A5">
        <w:t>.</w:t>
      </w:r>
      <w:r w:rsidR="00F71E62">
        <w:t xml:space="preserve"> </w:t>
      </w:r>
      <w:r w:rsidR="004E4820">
        <w:t xml:space="preserve">There has been an ongoing rise in the level of IPv6 within China, and the measured level of IPv6 has risen from </w:t>
      </w:r>
      <w:r w:rsidR="005704ED">
        <w:t>32</w:t>
      </w:r>
      <w:r w:rsidR="004E4820">
        <w:t xml:space="preserve">% of the user base to </w:t>
      </w:r>
      <w:r w:rsidR="005704ED">
        <w:t>42</w:t>
      </w:r>
      <w:r w:rsidR="004E4820">
        <w:t>% over 20</w:t>
      </w:r>
      <w:r w:rsidR="00A753D0">
        <w:t>2</w:t>
      </w:r>
      <w:r w:rsidR="005704ED">
        <w:t>4</w:t>
      </w:r>
      <w:r w:rsidR="004E4820">
        <w:t xml:space="preserve">, or an expansion of the Chinese IPv6 user pool by </w:t>
      </w:r>
      <w:r w:rsidR="005704ED">
        <w:t>some 80</w:t>
      </w:r>
      <w:r w:rsidR="004E4820">
        <w:t>M end clients</w:t>
      </w:r>
      <w:r w:rsidR="00A753D0">
        <w:t xml:space="preserve"> over the year</w:t>
      </w:r>
      <w:r w:rsidR="00E97353">
        <w:t>.</w:t>
      </w:r>
    </w:p>
    <w:p w14:paraId="19E2F2A7" w14:textId="77777777" w:rsidR="00250308" w:rsidRDefault="00250308" w:rsidP="00834515"/>
    <w:p w14:paraId="19E1C911" w14:textId="08AFF44E" w:rsidR="005A1AAB" w:rsidRDefault="005704ED" w:rsidP="005201E4">
      <w:pPr>
        <w:ind w:left="720"/>
      </w:pPr>
      <w:r>
        <w:rPr>
          <w:noProof/>
        </w:rPr>
        <w:lastRenderedPageBreak/>
        <w:drawing>
          <wp:inline distT="0" distB="0" distL="0" distR="0" wp14:anchorId="613C08EF" wp14:editId="56EE4AF4">
            <wp:extent cx="5594350" cy="3596368"/>
            <wp:effectExtent l="0" t="0" r="0" b="0"/>
            <wp:docPr id="1021907648" name="Picture 27"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07648" name="Picture 27" descr="A graph of a number of people&#10;&#10;Description automatically generated with medium confidence"/>
                    <pic:cNvPicPr/>
                  </pic:nvPicPr>
                  <pic:blipFill>
                    <a:blip r:embed="rId55"/>
                    <a:stretch>
                      <a:fillRect/>
                    </a:stretch>
                  </pic:blipFill>
                  <pic:spPr>
                    <a:xfrm>
                      <a:off x="0" y="0"/>
                      <a:ext cx="5603678" cy="3602365"/>
                    </a:xfrm>
                    <a:prstGeom prst="rect">
                      <a:avLst/>
                    </a:prstGeom>
                  </pic:spPr>
                </pic:pic>
              </a:graphicData>
            </a:graphic>
          </wp:inline>
        </w:drawing>
      </w:r>
    </w:p>
    <w:p w14:paraId="2D201311" w14:textId="0D709AD6" w:rsidR="005A1AAB" w:rsidRDefault="005201E4" w:rsidP="00AE6F4D">
      <w:pPr>
        <w:ind w:left="720"/>
        <w:rPr>
          <w:i/>
          <w:sz w:val="21"/>
          <w:szCs w:val="21"/>
        </w:rPr>
      </w:pPr>
      <w:r>
        <w:rPr>
          <w:i/>
          <w:sz w:val="21"/>
          <w:szCs w:val="21"/>
        </w:rPr>
        <w:t>Figure 1</w:t>
      </w:r>
      <w:r w:rsidR="00D627DF">
        <w:rPr>
          <w:i/>
          <w:sz w:val="21"/>
          <w:szCs w:val="21"/>
        </w:rPr>
        <w:t>8</w:t>
      </w:r>
      <w:r w:rsidRPr="00893542">
        <w:rPr>
          <w:i/>
          <w:sz w:val="21"/>
          <w:szCs w:val="21"/>
        </w:rPr>
        <w:t xml:space="preserve"> –</w:t>
      </w:r>
      <w:r>
        <w:rPr>
          <w:i/>
          <w:sz w:val="21"/>
          <w:szCs w:val="21"/>
        </w:rPr>
        <w:t xml:space="preserve"> IPv6 Deployment measurement 2010 </w:t>
      </w:r>
      <w:r w:rsidR="00AE6F4D">
        <w:rPr>
          <w:i/>
          <w:sz w:val="21"/>
          <w:szCs w:val="21"/>
        </w:rPr>
        <w:t>–</w:t>
      </w:r>
      <w:r>
        <w:rPr>
          <w:i/>
          <w:sz w:val="21"/>
          <w:szCs w:val="21"/>
        </w:rPr>
        <w:t xml:space="preserve"> 20</w:t>
      </w:r>
      <w:r w:rsidR="00832818">
        <w:rPr>
          <w:i/>
          <w:sz w:val="21"/>
          <w:szCs w:val="21"/>
        </w:rPr>
        <w:t>2</w:t>
      </w:r>
      <w:r w:rsidR="006825D4">
        <w:rPr>
          <w:i/>
          <w:sz w:val="21"/>
          <w:szCs w:val="21"/>
        </w:rPr>
        <w:t>4</w:t>
      </w:r>
    </w:p>
    <w:p w14:paraId="34C95290" w14:textId="77777777" w:rsidR="00AE6F4D" w:rsidRPr="00AE6F4D" w:rsidRDefault="00AE6F4D" w:rsidP="00AE6F4D">
      <w:pPr>
        <w:ind w:left="720"/>
        <w:rPr>
          <w:i/>
          <w:sz w:val="21"/>
          <w:szCs w:val="21"/>
        </w:rPr>
      </w:pPr>
    </w:p>
    <w:p w14:paraId="7A212A15" w14:textId="5CBF61F4" w:rsidR="002E03FE" w:rsidRDefault="002E03FE" w:rsidP="002E03FE">
      <w:r>
        <w:t>In 20</w:t>
      </w:r>
      <w:r w:rsidR="005704ED">
        <w:t>4</w:t>
      </w:r>
      <w:r>
        <w:t xml:space="preserve"> the growth patterns for IPv6 are more diffuse around the world with a </w:t>
      </w:r>
      <w:r w:rsidR="0023620E">
        <w:t>3.7</w:t>
      </w:r>
      <w:r>
        <w:t xml:space="preserve">% overall growth rate, although there has been steady growth in IPv6 deployment in </w:t>
      </w:r>
      <w:r w:rsidR="00FD2514">
        <w:t>Mongolia (</w:t>
      </w:r>
      <w:r w:rsidR="0023620E">
        <w:t>42</w:t>
      </w:r>
      <w:r w:rsidR="00FD2514">
        <w:t>%), Bhutan (</w:t>
      </w:r>
      <w:r w:rsidR="0023620E">
        <w:t>34</w:t>
      </w:r>
      <w:r w:rsidR="00FD2514">
        <w:t>%)</w:t>
      </w:r>
      <w:r w:rsidR="0023620E">
        <w:t xml:space="preserve"> and </w:t>
      </w:r>
      <w:r w:rsidR="00FD2514">
        <w:t>Nepal (</w:t>
      </w:r>
      <w:r w:rsidR="0023620E">
        <w:t>55</w:t>
      </w:r>
      <w:r w:rsidR="00FD2514">
        <w:t>%)</w:t>
      </w:r>
      <w:r w:rsidR="0023620E">
        <w:t xml:space="preserve"> </w:t>
      </w:r>
      <w:r>
        <w:t>(Figure 1</w:t>
      </w:r>
      <w:r w:rsidR="0023620E">
        <w:t>9</w:t>
      </w:r>
      <w:r>
        <w:t>).</w:t>
      </w:r>
    </w:p>
    <w:p w14:paraId="37558C2E" w14:textId="77777777" w:rsidR="00AE6F4D" w:rsidRDefault="00AE6F4D" w:rsidP="002E03FE"/>
    <w:p w14:paraId="0821AFC2" w14:textId="61C88D5F" w:rsidR="002E03FE" w:rsidRDefault="0023620E" w:rsidP="00F01F1B">
      <w:pPr>
        <w:ind w:left="720"/>
      </w:pPr>
      <w:r>
        <w:rPr>
          <w:noProof/>
        </w:rPr>
        <w:drawing>
          <wp:inline distT="0" distB="0" distL="0" distR="0" wp14:anchorId="65E46B72" wp14:editId="6981C88C">
            <wp:extent cx="6116320" cy="2965450"/>
            <wp:effectExtent l="0" t="0" r="5080" b="6350"/>
            <wp:docPr id="8620514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51438" name="Picture 862051438"/>
                    <pic:cNvPicPr/>
                  </pic:nvPicPr>
                  <pic:blipFill>
                    <a:blip r:embed="rId56"/>
                    <a:stretch>
                      <a:fillRect/>
                    </a:stretch>
                  </pic:blipFill>
                  <pic:spPr>
                    <a:xfrm>
                      <a:off x="0" y="0"/>
                      <a:ext cx="6116320" cy="2965450"/>
                    </a:xfrm>
                    <a:prstGeom prst="rect">
                      <a:avLst/>
                    </a:prstGeom>
                  </pic:spPr>
                </pic:pic>
              </a:graphicData>
            </a:graphic>
          </wp:inline>
        </w:drawing>
      </w:r>
    </w:p>
    <w:p w14:paraId="6B088724" w14:textId="5A06DB9E" w:rsidR="00AE6F4D" w:rsidRDefault="00AE6F4D" w:rsidP="00AE6F4D">
      <w:pPr>
        <w:ind w:left="720"/>
        <w:rPr>
          <w:i/>
          <w:sz w:val="21"/>
          <w:szCs w:val="21"/>
        </w:rPr>
      </w:pPr>
      <w:r>
        <w:rPr>
          <w:i/>
          <w:sz w:val="21"/>
          <w:szCs w:val="21"/>
        </w:rPr>
        <w:t>Figure 1</w:t>
      </w:r>
      <w:r w:rsidR="0023620E">
        <w:rPr>
          <w:i/>
          <w:sz w:val="21"/>
          <w:szCs w:val="21"/>
        </w:rPr>
        <w:t>9</w:t>
      </w:r>
      <w:r w:rsidRPr="00893542">
        <w:rPr>
          <w:i/>
          <w:sz w:val="21"/>
          <w:szCs w:val="21"/>
        </w:rPr>
        <w:t xml:space="preserve"> –</w:t>
      </w:r>
      <w:r>
        <w:rPr>
          <w:i/>
          <w:sz w:val="21"/>
          <w:szCs w:val="21"/>
        </w:rPr>
        <w:t xml:space="preserve"> IPv6 Deployment </w:t>
      </w:r>
      <w:r w:rsidR="005001B2">
        <w:rPr>
          <w:i/>
          <w:sz w:val="21"/>
          <w:szCs w:val="21"/>
        </w:rPr>
        <w:t xml:space="preserve">measurement </w:t>
      </w:r>
      <w:r w:rsidR="0023620E">
        <w:rPr>
          <w:i/>
          <w:sz w:val="21"/>
          <w:szCs w:val="21"/>
        </w:rPr>
        <w:t>–</w:t>
      </w:r>
      <w:r w:rsidR="005001B2">
        <w:rPr>
          <w:i/>
          <w:sz w:val="21"/>
          <w:szCs w:val="21"/>
        </w:rPr>
        <w:t xml:space="preserve"> </w:t>
      </w:r>
      <w:r w:rsidR="0023620E">
        <w:rPr>
          <w:i/>
          <w:sz w:val="21"/>
          <w:szCs w:val="21"/>
        </w:rPr>
        <w:t>December 2024</w:t>
      </w:r>
    </w:p>
    <w:p w14:paraId="31176EF5" w14:textId="77777777" w:rsidR="00AE6F4D" w:rsidRDefault="00AE6F4D" w:rsidP="00834515"/>
    <w:p w14:paraId="523D447E" w14:textId="77777777" w:rsidR="00AE6F4D" w:rsidRDefault="00AE6F4D" w:rsidP="00834515"/>
    <w:p w14:paraId="7B296A51" w14:textId="7152B432" w:rsidR="00BF74EC" w:rsidRDefault="00675578" w:rsidP="00834515">
      <w:r>
        <w:t xml:space="preserve">While a number of service operators have reached the decision point that the anticipated future </w:t>
      </w:r>
      <w:r w:rsidR="007E3569">
        <w:t xml:space="preserve">costs of </w:t>
      </w:r>
      <w:r>
        <w:t xml:space="preserve">NAT deployment are unsustainable for their service platform, there remains a considerable </w:t>
      </w:r>
      <w:r w:rsidR="007E3569">
        <w:t xml:space="preserve">school of thought that says that NATs </w:t>
      </w:r>
      <w:r>
        <w:t>will</w:t>
      </w:r>
      <w:r w:rsidR="007E3569">
        <w:t xml:space="preserve"> cost </w:t>
      </w:r>
      <w:r w:rsidR="00834515">
        <w:t>effectively absorb some further</w:t>
      </w:r>
      <w:r w:rsidR="007E3569">
        <w:t xml:space="preserve"> years of </w:t>
      </w:r>
      <w:r w:rsidR="00834515">
        <w:t xml:space="preserve">Internet population </w:t>
      </w:r>
      <w:r w:rsidR="007E3569">
        <w:t>growth. At least that's the only rationale I can ascribe to a very large number of service providers who are making no</w:t>
      </w:r>
      <w:r w:rsidR="00F20841">
        <w:t xml:space="preserve"> visible moves to </w:t>
      </w:r>
      <w:r w:rsidR="004034F5">
        <w:t>deploy</w:t>
      </w:r>
      <w:r w:rsidR="00F20841">
        <w:t xml:space="preserve"> D</w:t>
      </w:r>
      <w:r>
        <w:t>ual-</w:t>
      </w:r>
      <w:r w:rsidR="00F20841">
        <w:t>S</w:t>
      </w:r>
      <w:r w:rsidR="007E3569">
        <w:t>tack services</w:t>
      </w:r>
      <w:r>
        <w:t xml:space="preserve"> at this point in time</w:t>
      </w:r>
      <w:r w:rsidR="007E3569">
        <w:t xml:space="preserve">. Given that the </w:t>
      </w:r>
      <w:r w:rsidR="004000DB">
        <w:t xml:space="preserve">ultimate </w:t>
      </w:r>
      <w:r w:rsidR="007E3569">
        <w:t>objective of this tr</w:t>
      </w:r>
      <w:r w:rsidR="007D652A">
        <w:t>ansition is not to turn on Dual-</w:t>
      </w:r>
      <w:r w:rsidR="007E3569">
        <w:t>Stack everywhere, but to turn off IPv4, there is still some time to go, and the uncertainty lies in trying to quantify what that time might be.</w:t>
      </w:r>
    </w:p>
    <w:p w14:paraId="2130EBAC" w14:textId="77777777" w:rsidR="007E3569" w:rsidRDefault="007E3569" w:rsidP="00E12DA6"/>
    <w:p w14:paraId="45D9F610" w14:textId="7657B935" w:rsidR="008E4C69" w:rsidRDefault="00834515" w:rsidP="00834515">
      <w:r>
        <w:lastRenderedPageBreak/>
        <w:t xml:space="preserve">The </w:t>
      </w:r>
      <w:r w:rsidR="007D652A">
        <w:t xml:space="preserve">period of the </w:t>
      </w:r>
      <w:r>
        <w:t xml:space="preserve">past </w:t>
      </w:r>
      <w:r w:rsidR="008253A5">
        <w:t>decade</w:t>
      </w:r>
      <w:r>
        <w:t xml:space="preserve"> </w:t>
      </w:r>
      <w:r w:rsidR="0071794A">
        <w:t xml:space="preserve">has been dominated </w:t>
      </w:r>
      <w:r w:rsidR="00E12DA6">
        <w:t>by the mass marketing of mobile internet service</w:t>
      </w:r>
      <w:r w:rsidR="008F5418">
        <w:t xml:space="preserve">s, and the </w:t>
      </w:r>
      <w:r w:rsidR="008253A5">
        <w:t xml:space="preserve">Internet’s </w:t>
      </w:r>
      <w:r w:rsidR="008F5418">
        <w:t>growth rates for 2014</w:t>
      </w:r>
      <w:r w:rsidR="008E4C69">
        <w:t xml:space="preserve"> </w:t>
      </w:r>
      <w:r w:rsidR="00F20841">
        <w:t>through to 2016</w:t>
      </w:r>
      <w:r w:rsidR="00E12DA6">
        <w:t xml:space="preserve"> </w:t>
      </w:r>
      <w:r w:rsidR="0071794A">
        <w:t xml:space="preserve">perhaps might </w:t>
      </w:r>
      <w:r w:rsidR="00E12DA6">
        <w:t>have b</w:t>
      </w:r>
      <w:r w:rsidR="0071794A">
        <w:t>een the highest so far recorded</w:t>
      </w:r>
      <w:r w:rsidR="008253A5">
        <w:t xml:space="preserve">. This would’ve been visible in the IP address deployment data </w:t>
      </w:r>
      <w:r w:rsidR="0071794A">
        <w:t>were it not for the exhaustion of the IPv4 address pool</w:t>
      </w:r>
      <w:r w:rsidR="008E4C69">
        <w:t xml:space="preserve">. </w:t>
      </w:r>
      <w:r w:rsidR="0014650A">
        <w:t xml:space="preserve">In address terms this growth </w:t>
      </w:r>
      <w:r w:rsidR="008E4C69">
        <w:t xml:space="preserve">in the IPv4 Internet </w:t>
      </w:r>
      <w:r w:rsidR="0014650A">
        <w:t xml:space="preserve">is being </w:t>
      </w:r>
      <w:r w:rsidR="008F5418">
        <w:t xml:space="preserve">almost completely </w:t>
      </w:r>
      <w:r w:rsidR="0014650A">
        <w:t xml:space="preserve">masked by the use of Carrier Grade NATs in the mobile service provider environment, so that the resultant demands </w:t>
      </w:r>
      <w:r w:rsidR="00FC04D7">
        <w:t xml:space="preserve">for </w:t>
      </w:r>
      <w:r w:rsidR="0014650A">
        <w:t>public address</w:t>
      </w:r>
      <w:r w:rsidR="00FC04D7">
        <w:t>es</w:t>
      </w:r>
      <w:r w:rsidR="007528C2">
        <w:t xml:space="preserve"> in IPv4 are quite low and the real underlying growth rates in the network are occluded by these NATs.</w:t>
      </w:r>
      <w:r w:rsidR="008253A5">
        <w:t xml:space="preserve"> In IPv6 the extremely large size of the address space masks out much of this volume. A single IPv6 /20 allocation to an ISP allows for 268 million /48 allocations, or 68 billion /56 allocations, so much of the growth in IPv6-using networks is simply hidden behind the massive address plan that lies behind IPv6.</w:t>
      </w:r>
    </w:p>
    <w:p w14:paraId="174B2E8B" w14:textId="77777777" w:rsidR="00204BB9" w:rsidRDefault="00204BB9" w:rsidP="00E12DA6"/>
    <w:p w14:paraId="76177E31" w14:textId="76DFCAAC" w:rsidR="00C947DA" w:rsidRDefault="008C0EF2" w:rsidP="00834515">
      <w:r>
        <w:t xml:space="preserve">It has also been </w:t>
      </w:r>
      <w:r w:rsidR="00E7011B">
        <w:t xml:space="preserve">assumed that we should see </w:t>
      </w:r>
      <w:r w:rsidR="007D652A">
        <w:t xml:space="preserve">IPv6 </w:t>
      </w:r>
      <w:r w:rsidR="00C947DA">
        <w:t>address demands for deployments of large</w:t>
      </w:r>
      <w:r w:rsidR="00880924">
        <w:t>-</w:t>
      </w:r>
      <w:r w:rsidR="00C947DA">
        <w:t xml:space="preserve">scale sensor networks and other forms of deployments that are encompassed under the broad umbrella of the Internet of Things. This does not necessarily imply that the deployment </w:t>
      </w:r>
      <w:r w:rsidR="00834515">
        <w:t>is</w:t>
      </w:r>
      <w:r w:rsidR="00C947DA">
        <w:t xml:space="preserve"> merely a product of an over-hyped industry, although that is always a possibility. It is more likely to assume that</w:t>
      </w:r>
      <w:r w:rsidR="008253A5">
        <w:t>,</w:t>
      </w:r>
      <w:r w:rsidR="00C947DA">
        <w:t xml:space="preserve"> </w:t>
      </w:r>
      <w:r w:rsidR="00E7011B">
        <w:t>so far</w:t>
      </w:r>
      <w:r w:rsidR="008253A5">
        <w:t>,</w:t>
      </w:r>
      <w:r w:rsidR="00E7011B">
        <w:t xml:space="preserve"> </w:t>
      </w:r>
      <w:r w:rsidR="00C947DA">
        <w:t xml:space="preserve">such deployments </w:t>
      </w:r>
      <w:r w:rsidR="00E7011B">
        <w:t xml:space="preserve">are </w:t>
      </w:r>
      <w:r w:rsidR="00C947DA">
        <w:t>tak</w:t>
      </w:r>
      <w:r w:rsidR="00E7011B">
        <w:t>ing</w:t>
      </w:r>
      <w:r w:rsidR="00C947DA">
        <w:t xml:space="preserve"> place using private </w:t>
      </w:r>
      <w:r w:rsidR="00834515">
        <w:t xml:space="preserve">IPv4 </w:t>
      </w:r>
      <w:r w:rsidR="00C947DA">
        <w:t xml:space="preserve">addresses, and </w:t>
      </w:r>
      <w:r w:rsidR="00E7011B">
        <w:t xml:space="preserve">they </w:t>
      </w:r>
      <w:r w:rsidR="00C947DA">
        <w:t>rely on NATs</w:t>
      </w:r>
      <w:r w:rsidR="00E7011B">
        <w:t xml:space="preserve"> and</w:t>
      </w:r>
      <w:r w:rsidR="00834515">
        <w:t xml:space="preserve"> </w:t>
      </w:r>
      <w:r w:rsidR="00F71E62">
        <w:t>application-level</w:t>
      </w:r>
      <w:r w:rsidR="00834515">
        <w:t xml:space="preserve"> gateways to interface to the public network</w:t>
      </w:r>
      <w:r w:rsidR="00C947DA">
        <w:t>. Time and time again we are lectured that NATs are not a good security device, but in practice N</w:t>
      </w:r>
      <w:r w:rsidR="00F20841">
        <w:t>ATs offer a reasonable front-</w:t>
      </w:r>
      <w:r w:rsidR="00C947DA">
        <w:t xml:space="preserve">line defence against network scanning malware, so there may be a larger story behind the use of NATs and </w:t>
      </w:r>
      <w:r w:rsidR="009914AF">
        <w:t>device-based</w:t>
      </w:r>
      <w:r w:rsidR="00C947DA">
        <w:t xml:space="preserve"> networks than just a simple conservative preference to continue to use an IPv4 protocol stack.</w:t>
      </w:r>
    </w:p>
    <w:p w14:paraId="0651F9C1" w14:textId="77777777" w:rsidR="00C947DA" w:rsidRDefault="00C947DA" w:rsidP="00E12DA6"/>
    <w:p w14:paraId="272BABEA" w14:textId="76AC0495" w:rsidR="009801A9" w:rsidRDefault="008253A5" w:rsidP="00834515">
      <w:r>
        <w:t>More generally, w</w:t>
      </w:r>
      <w:r w:rsidR="00E12DA6">
        <w:t xml:space="preserve">e are witnessing an industry that is no longer using technical innovation, openness and diversification as its primary means of </w:t>
      </w:r>
      <w:r w:rsidR="0023620E">
        <w:t>expansion</w:t>
      </w:r>
      <w:r w:rsidR="00E12DA6">
        <w:t xml:space="preserve">. </w:t>
      </w:r>
      <w:r w:rsidR="00C25786">
        <w:t>The widespread use of NATs</w:t>
      </w:r>
      <w:r w:rsidR="008E4C69">
        <w:t xml:space="preserve"> in IPv4</w:t>
      </w:r>
      <w:r w:rsidR="00C25786">
        <w:t xml:space="preserve"> limit the technical substrate of the Internet to a very restricted model of simple client/server interactions using TCP and UDP. The use of NATs force the interactions into client-initiated transactions, and the model of an open network with considerable flexibility in the way in which communications </w:t>
      </w:r>
      <w:r w:rsidR="007528C2">
        <w:t>take</w:t>
      </w:r>
      <w:r w:rsidR="00C25786">
        <w:t xml:space="preserve"> place is no longer being sustained</w:t>
      </w:r>
      <w:r w:rsidR="007528C2">
        <w:t xml:space="preserve"> in today’s network</w:t>
      </w:r>
      <w:r w:rsidR="00C25786">
        <w:t xml:space="preserve">. </w:t>
      </w:r>
      <w:r w:rsidR="008F5418">
        <w:t>I</w:t>
      </w:r>
      <w:r w:rsidR="009801A9" w:rsidRPr="009801A9">
        <w:t xml:space="preserve">ncumbents </w:t>
      </w:r>
      <w:r w:rsidR="008F5418">
        <w:t xml:space="preserve">are </w:t>
      </w:r>
      <w:r w:rsidR="009801A9" w:rsidRPr="009801A9">
        <w:t>entrench</w:t>
      </w:r>
      <w:r w:rsidR="008F5418">
        <w:t>ing</w:t>
      </w:r>
      <w:r w:rsidR="009801A9" w:rsidRPr="009801A9">
        <w:t xml:space="preserve"> their position and innovation and entrepreneurialism are taking a back seat wh</w:t>
      </w:r>
      <w:r w:rsidR="00C947DA">
        <w:t>ile we sit out this protracted</w:t>
      </w:r>
      <w:r w:rsidR="00E77E4C">
        <w:t xml:space="preserve"> IPv4/</w:t>
      </w:r>
      <w:r w:rsidR="00C947DA">
        <w:t>IPv6 transition.</w:t>
      </w:r>
    </w:p>
    <w:p w14:paraId="2AE266A1" w14:textId="77777777" w:rsidR="009801A9" w:rsidRDefault="009801A9" w:rsidP="00E12DA6"/>
    <w:p w14:paraId="022DEB7C" w14:textId="1F157874" w:rsidR="00E12DA6" w:rsidRDefault="009801A9" w:rsidP="00834515">
      <w:r>
        <w:t>What is happening is that t</w:t>
      </w:r>
      <w:r w:rsidR="00E12DA6">
        <w:t>oday's internet</w:t>
      </w:r>
      <w:r w:rsidR="00C947DA">
        <w:t xml:space="preserve"> carriage service </w:t>
      </w:r>
      <w:r w:rsidR="00E12DA6">
        <w:t xml:space="preserve">is </w:t>
      </w:r>
      <w:r w:rsidR="00C947DA">
        <w:t>provided</w:t>
      </w:r>
      <w:r w:rsidR="00E12DA6">
        <w:t xml:space="preserve"> by a</w:t>
      </w:r>
      <w:r w:rsidR="0023620E">
        <w:t>n ever-</w:t>
      </w:r>
      <w:r w:rsidR="00E12DA6">
        <w:t>smaller number of very large players, each of whom appear to be assuming a very strong position within their respective markets. The drivers for such larger players tend towards risk aversion, conservatism and increased levels of control across their scope of operation.</w:t>
      </w:r>
      <w:r w:rsidR="00B261B7">
        <w:t xml:space="preserve"> </w:t>
      </w:r>
      <w:r w:rsidR="00C25786">
        <w:t>The same trends of market aggregation are now appearing in content provision</w:t>
      </w:r>
      <w:r w:rsidR="007E1B89">
        <w:t xml:space="preserve"> platforms</w:t>
      </w:r>
      <w:r w:rsidR="00C25786">
        <w:t xml:space="preserve">, where a small number of </w:t>
      </w:r>
      <w:r w:rsidR="007E1B89">
        <w:t>platform operators</w:t>
      </w:r>
      <w:r w:rsidR="00C25786">
        <w:t xml:space="preserve"> are exerting a </w:t>
      </w:r>
      <w:r w:rsidR="00F20841">
        <w:t xml:space="preserve">completely </w:t>
      </w:r>
      <w:r w:rsidR="00C25786">
        <w:t>dominant position across the entire Internet.</w:t>
      </w:r>
      <w:r w:rsidR="00DE1C27">
        <w:t xml:space="preserve"> </w:t>
      </w:r>
    </w:p>
    <w:p w14:paraId="36AF9D68" w14:textId="77777777" w:rsidR="00E12DA6" w:rsidRDefault="00E12DA6" w:rsidP="00E12DA6"/>
    <w:p w14:paraId="735229AC" w14:textId="2333A8A6" w:rsidR="008F5418" w:rsidRDefault="000163A1" w:rsidP="00834515">
      <w:pPr>
        <w:rPr>
          <w:lang w:val="en-US"/>
        </w:rPr>
      </w:pPr>
      <w:r>
        <w:t>The</w:t>
      </w:r>
      <w:r w:rsidR="00E12DA6">
        <w:t xml:space="preserve"> </w:t>
      </w:r>
      <w:r>
        <w:t>evolving</w:t>
      </w:r>
      <w:r w:rsidR="00E12DA6">
        <w:t xml:space="preserve"> makeu</w:t>
      </w:r>
      <w:r w:rsidR="00C25786">
        <w:t xml:space="preserve">p of the Internet industry </w:t>
      </w:r>
      <w:r w:rsidR="00E12DA6">
        <w:t xml:space="preserve">has quite profound implications in terms of network neutrality, the separation of functions of carriage and service provision, investment profiles and expectations of risk and returns on infrastructure investments, and on the openness of the Internet itself. </w:t>
      </w:r>
      <w:r w:rsidR="00E7277C">
        <w:rPr>
          <w:lang w:val="en-US"/>
        </w:rPr>
        <w:t xml:space="preserve">Given the economies of volume in this industry, </w:t>
      </w:r>
      <w:r w:rsidR="00BA1092">
        <w:rPr>
          <w:lang w:val="en-US"/>
        </w:rPr>
        <w:t xml:space="preserve">it was always going to be challenging to </w:t>
      </w:r>
      <w:r w:rsidR="007528C2">
        <w:rPr>
          <w:lang w:val="en-US"/>
        </w:rPr>
        <w:t>sustain</w:t>
      </w:r>
      <w:r w:rsidR="00BA1092">
        <w:rPr>
          <w:lang w:val="en-US"/>
        </w:rPr>
        <w:t xml:space="preserve"> an efficient, fully open and </w:t>
      </w:r>
      <w:r w:rsidR="007528C2">
        <w:rPr>
          <w:lang w:val="en-US"/>
        </w:rPr>
        <w:t>competitive industry</w:t>
      </w:r>
      <w:r w:rsidR="007E1B89">
        <w:rPr>
          <w:lang w:val="en-US"/>
        </w:rPr>
        <w:t xml:space="preserve"> that was capable of sustaining both large and small operators</w:t>
      </w:r>
      <w:r w:rsidR="00E7277C">
        <w:rPr>
          <w:lang w:val="en-US"/>
        </w:rPr>
        <w:t xml:space="preserve">, but the degree of challenge in this agenda is multiplied many-fold when the underlying platform </w:t>
      </w:r>
      <w:r w:rsidR="00BA1092">
        <w:rPr>
          <w:lang w:val="en-US"/>
        </w:rPr>
        <w:t>has run out of the basic currency of IP addresses.</w:t>
      </w:r>
      <w:r>
        <w:rPr>
          <w:lang w:val="en-US"/>
        </w:rPr>
        <w:t xml:space="preserve"> The pressures on the larger players within these markets to leverage their incumbency into overarching control gains traction when the stream of new entrants with competitive offerings dries up, and the solutions in such scenarios typically involve some form of public sector intervention directed to restore effective competition and revive the impetus for more efficient and effective offerings in the market. </w:t>
      </w:r>
    </w:p>
    <w:p w14:paraId="035FDC96" w14:textId="77777777" w:rsidR="008F5418" w:rsidRDefault="008F5418" w:rsidP="00B261B7">
      <w:pPr>
        <w:rPr>
          <w:lang w:val="en-US"/>
        </w:rPr>
      </w:pPr>
    </w:p>
    <w:p w14:paraId="1C32C709" w14:textId="45CEF02E" w:rsidR="00834515" w:rsidRDefault="000163A1" w:rsidP="00834515">
      <w:pPr>
        <w:rPr>
          <w:lang w:val="en-US"/>
        </w:rPr>
      </w:pPr>
      <w:r>
        <w:rPr>
          <w:lang w:val="en-US"/>
        </w:rPr>
        <w:t>As the Internet continues to evolve, it is no longer the technica</w:t>
      </w:r>
      <w:r w:rsidR="008F5418">
        <w:rPr>
          <w:lang w:val="en-US"/>
        </w:rPr>
        <w:t xml:space="preserve">lly innovative challenger pitted against </w:t>
      </w:r>
      <w:r>
        <w:rPr>
          <w:lang w:val="en-US"/>
        </w:rPr>
        <w:t xml:space="preserve">venerable incumbents in the forms of the traditional industries of telephony, </w:t>
      </w:r>
      <w:r w:rsidR="00FB46F4">
        <w:rPr>
          <w:lang w:val="en-US"/>
        </w:rPr>
        <w:t xml:space="preserve">print </w:t>
      </w:r>
      <w:r>
        <w:rPr>
          <w:lang w:val="en-US"/>
        </w:rPr>
        <w:t>newspapers, television entertai</w:t>
      </w:r>
      <w:r w:rsidR="008F5418">
        <w:rPr>
          <w:lang w:val="en-US"/>
        </w:rPr>
        <w:t>nment and social interaction. The Internet</w:t>
      </w:r>
      <w:r>
        <w:rPr>
          <w:lang w:val="en-US"/>
        </w:rPr>
        <w:t xml:space="preserve"> i</w:t>
      </w:r>
      <w:r w:rsidR="00FB46F4">
        <w:rPr>
          <w:lang w:val="en-US"/>
        </w:rPr>
        <w:t>s now the established norm. T</w:t>
      </w:r>
      <w:r>
        <w:rPr>
          <w:lang w:val="en-US"/>
        </w:rPr>
        <w:t>he days when the Internet was touted as a poster child of disruption in a deregulated space are long s</w:t>
      </w:r>
      <w:r w:rsidR="00FB46F4">
        <w:rPr>
          <w:lang w:val="en-US"/>
        </w:rPr>
        <w:t>ince over, and these days we appear to be increasingly looking further afield for a regulatory and governance framework that can challenge the increasing complacency of the</w:t>
      </w:r>
      <w:r w:rsidR="007E1B89">
        <w:rPr>
          <w:lang w:val="en-US"/>
        </w:rPr>
        <w:t xml:space="preserve"> very small number of massive digital</w:t>
      </w:r>
      <w:r w:rsidR="00FB46F4">
        <w:rPr>
          <w:lang w:val="en-US"/>
        </w:rPr>
        <w:t xml:space="preserve"> incumbents. </w:t>
      </w:r>
    </w:p>
    <w:p w14:paraId="1F95A365" w14:textId="77777777" w:rsidR="00834515" w:rsidRDefault="00834515" w:rsidP="00834515">
      <w:pPr>
        <w:rPr>
          <w:lang w:val="en-US"/>
        </w:rPr>
      </w:pPr>
    </w:p>
    <w:p w14:paraId="684E37F8" w14:textId="2475E24A" w:rsidR="00BA1092" w:rsidRPr="00834515" w:rsidRDefault="00FB46F4" w:rsidP="00834515">
      <w:pPr>
        <w:rPr>
          <w:lang w:val="en-US"/>
        </w:rPr>
      </w:pPr>
      <w:r>
        <w:rPr>
          <w:lang w:val="en-US"/>
        </w:rPr>
        <w:lastRenderedPageBreak/>
        <w:t>It is unclear how succe</w:t>
      </w:r>
      <w:r w:rsidR="00834515">
        <w:rPr>
          <w:lang w:val="en-US"/>
        </w:rPr>
        <w:t>ssful we will be in this search</w:t>
      </w:r>
      <w:r w:rsidR="007E1B89">
        <w:rPr>
          <w:lang w:val="en-US"/>
        </w:rPr>
        <w:t xml:space="preserve"> for responses to this oppressive level of centrality in many aspects of the digital environment</w:t>
      </w:r>
      <w:r w:rsidR="00834515">
        <w:rPr>
          <w:lang w:val="en-US"/>
        </w:rPr>
        <w:t>. W</w:t>
      </w:r>
      <w:r w:rsidR="00BA1092">
        <w:rPr>
          <w:lang w:val="en-US"/>
        </w:rPr>
        <w:t>e can but wait and see.</w:t>
      </w:r>
    </w:p>
    <w:p w14:paraId="4AD0A4AB" w14:textId="7ACADFF8" w:rsidR="00D70FDF" w:rsidRDefault="00D70FDF" w:rsidP="00B261B7">
      <w:pPr>
        <w:rPr>
          <w:szCs w:val="22"/>
        </w:rPr>
      </w:pPr>
      <w:r>
        <w:rPr>
          <w:szCs w:val="22"/>
        </w:rPr>
        <w:br w:type="page"/>
      </w:r>
    </w:p>
    <w:p w14:paraId="5796C0E9" w14:textId="77777777" w:rsidR="008B5836" w:rsidRDefault="008B5836" w:rsidP="00B261B7">
      <w:pPr>
        <w:rPr>
          <w:szCs w:val="22"/>
        </w:rPr>
      </w:pPr>
    </w:p>
    <w:p w14:paraId="5E84DF21" w14:textId="77777777" w:rsidR="00A1276B" w:rsidRPr="0088734D" w:rsidRDefault="00A1276B" w:rsidP="00FE7488">
      <w:pPr>
        <w:rPr>
          <w:szCs w:val="22"/>
        </w:rPr>
      </w:pPr>
    </w:p>
    <w:p w14:paraId="0B35F5B7" w14:textId="77777777" w:rsidR="00E83861" w:rsidRDefault="00F95BD1" w:rsidP="00E12DA6">
      <w:pPr>
        <w:pStyle w:val="Heading3"/>
      </w:pPr>
      <w:r>
        <w:rPr>
          <w:noProof/>
        </w:rPr>
        <w:pict w14:anchorId="6B201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57" o:title=""/>
          </v:shape>
        </w:pict>
      </w:r>
    </w:p>
    <w:p w14:paraId="30201AAA" w14:textId="77777777" w:rsidR="00E83861" w:rsidRPr="008D3474" w:rsidRDefault="00E83861" w:rsidP="008D3474">
      <w:pPr>
        <w:pStyle w:val="Heading3"/>
      </w:pPr>
      <w:r w:rsidRPr="008D3474">
        <w:t>Disclaimer</w:t>
      </w:r>
    </w:p>
    <w:p w14:paraId="5AABB38A" w14:textId="77777777" w:rsidR="00E83861" w:rsidRPr="008D3474" w:rsidRDefault="00E83861" w:rsidP="00E83861">
      <w:pPr>
        <w:pStyle w:val="NormalWeb"/>
        <w:rPr>
          <w:rFonts w:ascii="Garamond" w:hAnsi="Garamond"/>
        </w:rPr>
      </w:pPr>
      <w:r w:rsidRPr="008D3474">
        <w:rPr>
          <w:rFonts w:ascii="Garamond" w:hAnsi="Garamond"/>
        </w:rPr>
        <w:t>The above views do not necessarily represent the views or positions of the Asia Pacific Network Information Centre.</w:t>
      </w:r>
    </w:p>
    <w:p w14:paraId="53A52A90" w14:textId="77777777" w:rsidR="0072473F" w:rsidRPr="008D3474" w:rsidRDefault="00F95BD1" w:rsidP="00E12DA6">
      <w:pPr>
        <w:pStyle w:val="Heading2"/>
      </w:pPr>
      <w:r>
        <w:rPr>
          <w:noProof/>
        </w:rPr>
        <w:pict w14:anchorId="1B78FE50">
          <v:shape id="_x0000_i1025" type="#_x0000_t75" alt="" style="width:450pt;height:7.5pt;mso-width-percent:0;mso-height-percent:0;mso-width-percent:0;mso-height-percent:0" o:hrpct="0" o:hralign="center" o:hr="t">
            <v:imagedata r:id="rId57" o:title=""/>
          </v:shape>
        </w:pict>
      </w:r>
    </w:p>
    <w:p w14:paraId="025EC56F" w14:textId="77777777" w:rsidR="0072473F" w:rsidRPr="008D3474" w:rsidRDefault="0072473F" w:rsidP="00E12DA6">
      <w:pPr>
        <w:pStyle w:val="Heading3"/>
      </w:pPr>
      <w:r w:rsidRPr="008D3474">
        <w:t>Author</w:t>
      </w:r>
    </w:p>
    <w:p w14:paraId="08C8F51D" w14:textId="46F38757" w:rsidR="0072473F" w:rsidRPr="008D3474" w:rsidRDefault="0072473F" w:rsidP="0072473F">
      <w:pPr>
        <w:pStyle w:val="NormalWeb"/>
        <w:ind w:right="10"/>
        <w:rPr>
          <w:rFonts w:ascii="Garamond" w:hAnsi="Garamond"/>
        </w:rPr>
      </w:pPr>
      <w:r w:rsidRPr="008D3474">
        <w:rPr>
          <w:rFonts w:ascii="Garamond" w:hAnsi="Garamond"/>
          <w:i/>
        </w:rPr>
        <w:t>Geoff Huston</w:t>
      </w:r>
      <w:r w:rsidRPr="008D3474">
        <w:rPr>
          <w:rFonts w:ascii="Garamond" w:hAnsi="Garamond"/>
        </w:rPr>
        <w:t xml:space="preserve"> </w:t>
      </w:r>
      <w:r w:rsidR="00376C2C">
        <w:rPr>
          <w:rFonts w:ascii="Garamond" w:hAnsi="Garamond"/>
        </w:rPr>
        <w:t xml:space="preserve">AM, </w:t>
      </w:r>
      <w:r w:rsidRPr="008D3474">
        <w:rPr>
          <w:rFonts w:ascii="Garamond" w:hAnsi="Garamond"/>
        </w:rPr>
        <w:t xml:space="preserve">B.Sc., M.Sc., is the Chief Scientist at APNIC, the Regional Internet Registry serving the Asia Pacific region. </w:t>
      </w:r>
    </w:p>
    <w:p w14:paraId="20701F73" w14:textId="22F280AE" w:rsidR="0072473F" w:rsidRPr="008D3474" w:rsidRDefault="006E69EF" w:rsidP="0072473F">
      <w:pPr>
        <w:rPr>
          <w:rFonts w:cs="Lucida Grande"/>
          <w:i/>
          <w:iCs/>
          <w:color w:val="262626"/>
          <w:szCs w:val="20"/>
          <w:lang w:val="en-US"/>
        </w:rPr>
      </w:pPr>
      <w:hyperlink r:id="rId58" w:history="1">
        <w:r w:rsidRPr="008D3474">
          <w:rPr>
            <w:rStyle w:val="Hyperlink"/>
            <w:rFonts w:cs="Lucida Grande"/>
            <w:i/>
            <w:iCs/>
            <w:szCs w:val="20"/>
            <w:lang w:val="en-US"/>
          </w:rPr>
          <w:t>www.potaroo.net</w:t>
        </w:r>
      </w:hyperlink>
    </w:p>
    <w:p w14:paraId="087334F2" w14:textId="77777777" w:rsidR="0072473F" w:rsidRPr="00D1564C" w:rsidRDefault="0072473F" w:rsidP="0072473F">
      <w:pPr>
        <w:widowControl w:val="0"/>
        <w:autoSpaceDE w:val="0"/>
        <w:autoSpaceDN w:val="0"/>
        <w:adjustRightInd w:val="0"/>
        <w:rPr>
          <w:rFonts w:cs="Helvetica"/>
          <w:iCs/>
          <w:lang w:val="en-US"/>
        </w:rPr>
      </w:pPr>
    </w:p>
    <w:p w14:paraId="46C2D8A8" w14:textId="77777777" w:rsidR="0072473F" w:rsidRPr="002F2892" w:rsidRDefault="0072473F" w:rsidP="0072473F">
      <w:pPr>
        <w:rPr>
          <w:rFonts w:ascii="Courier" w:hAnsi="Courier" w:cs="Monaco"/>
          <w:sz w:val="18"/>
          <w:szCs w:val="18"/>
          <w:lang w:val="en-US"/>
        </w:rPr>
      </w:pPr>
    </w:p>
    <w:p w14:paraId="3B6028DB" w14:textId="77777777" w:rsidR="00124027" w:rsidRPr="002F2892" w:rsidRDefault="00124027" w:rsidP="00E47CB4">
      <w:pPr>
        <w:rPr>
          <w:rFonts w:ascii="Courier" w:hAnsi="Courier" w:cs="Monaco"/>
          <w:sz w:val="18"/>
          <w:szCs w:val="18"/>
          <w:lang w:val="en-US"/>
        </w:rPr>
      </w:pPr>
    </w:p>
    <w:p w14:paraId="74FC4C48" w14:textId="77777777" w:rsidR="009D0596" w:rsidRPr="002F2892" w:rsidRDefault="009D0596">
      <w:pPr>
        <w:rPr>
          <w:rFonts w:ascii="Courier" w:hAnsi="Courier" w:cs="Monaco"/>
          <w:sz w:val="18"/>
          <w:szCs w:val="18"/>
          <w:lang w:val="en-US"/>
        </w:rPr>
      </w:pPr>
    </w:p>
    <w:sectPr w:rsidR="009D0596" w:rsidRPr="002F2892" w:rsidSect="00270735">
      <w:footerReference w:type="default" r:id="rId59"/>
      <w:pgSz w:w="11900" w:h="16840"/>
      <w:pgMar w:top="964" w:right="1134" w:bottom="96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E9459" w14:textId="77777777" w:rsidR="00F95BD1" w:rsidRDefault="00F95BD1" w:rsidP="008866B3">
      <w:r>
        <w:separator/>
      </w:r>
    </w:p>
  </w:endnote>
  <w:endnote w:type="continuationSeparator" w:id="0">
    <w:p w14:paraId="642BAF39" w14:textId="77777777" w:rsidR="00F95BD1" w:rsidRDefault="00F95BD1"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aco">
    <w:altName w:val="﷽﷽﷽﷽﷽﷽﷽﷽"/>
    <w:panose1 w:val="00000000000000000000"/>
    <w:charset w:val="4D"/>
    <w:family w:val="auto"/>
    <w:pitch w:val="variable"/>
    <w:sig w:usb0="A00002FF" w:usb1="500039FB"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11A10" w14:textId="77777777" w:rsidR="00932866" w:rsidRDefault="00932866"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4</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1A3D4" w14:textId="77777777" w:rsidR="00F95BD1" w:rsidRDefault="00F95BD1" w:rsidP="008866B3">
      <w:r>
        <w:separator/>
      </w:r>
    </w:p>
  </w:footnote>
  <w:footnote w:type="continuationSeparator" w:id="0">
    <w:p w14:paraId="76FEA0AE" w14:textId="77777777" w:rsidR="00F95BD1" w:rsidRDefault="00F95BD1"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12BAF"/>
    <w:multiLevelType w:val="hybridMultilevel"/>
    <w:tmpl w:val="BC1AA486"/>
    <w:lvl w:ilvl="0" w:tplc="349818F4">
      <w:numFmt w:val="decimal"/>
      <w:lvlText w:val="%1"/>
      <w:lvlJc w:val="left"/>
      <w:pPr>
        <w:ind w:left="1300" w:hanging="84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A370A2C"/>
    <w:multiLevelType w:val="hybridMultilevel"/>
    <w:tmpl w:val="BEFC5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B3DDB"/>
    <w:multiLevelType w:val="hybridMultilevel"/>
    <w:tmpl w:val="49943870"/>
    <w:lvl w:ilvl="0" w:tplc="D8FE4520">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86A2E"/>
    <w:multiLevelType w:val="hybridMultilevel"/>
    <w:tmpl w:val="FA52A6D4"/>
    <w:lvl w:ilvl="0" w:tplc="2772C61E">
      <w:numFmt w:val="decimal"/>
      <w:lvlText w:val="%1"/>
      <w:lvlJc w:val="left"/>
      <w:pPr>
        <w:ind w:left="1704" w:hanging="6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7" w15:restartNumberingAfterBreak="0">
    <w:nsid w:val="407933C6"/>
    <w:multiLevelType w:val="hybridMultilevel"/>
    <w:tmpl w:val="25BE6400"/>
    <w:lvl w:ilvl="0" w:tplc="27C286AE">
      <w:numFmt w:val="decimal"/>
      <w:lvlText w:val="%1"/>
      <w:lvlJc w:val="left"/>
      <w:pPr>
        <w:ind w:left="1804" w:hanging="7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8" w15:restartNumberingAfterBreak="0">
    <w:nsid w:val="5DA707F1"/>
    <w:multiLevelType w:val="hybridMultilevel"/>
    <w:tmpl w:val="B4802110"/>
    <w:lvl w:ilvl="0" w:tplc="B58C4FC6">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563C0"/>
    <w:multiLevelType w:val="hybridMultilevel"/>
    <w:tmpl w:val="EC96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020FDB"/>
    <w:multiLevelType w:val="hybridMultilevel"/>
    <w:tmpl w:val="0E4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080316">
    <w:abstractNumId w:val="1"/>
  </w:num>
  <w:num w:numId="2" w16cid:durableId="525869769">
    <w:abstractNumId w:val="0"/>
  </w:num>
  <w:num w:numId="3" w16cid:durableId="1279410881">
    <w:abstractNumId w:val="4"/>
  </w:num>
  <w:num w:numId="4" w16cid:durableId="675380135">
    <w:abstractNumId w:val="9"/>
  </w:num>
  <w:num w:numId="5" w16cid:durableId="221404213">
    <w:abstractNumId w:val="3"/>
  </w:num>
  <w:num w:numId="6" w16cid:durableId="536116669">
    <w:abstractNumId w:val="11"/>
  </w:num>
  <w:num w:numId="7" w16cid:durableId="859582333">
    <w:abstractNumId w:val="2"/>
  </w:num>
  <w:num w:numId="8" w16cid:durableId="1630161199">
    <w:abstractNumId w:val="10"/>
  </w:num>
  <w:num w:numId="9" w16cid:durableId="146166972">
    <w:abstractNumId w:val="7"/>
  </w:num>
  <w:num w:numId="10" w16cid:durableId="2001226214">
    <w:abstractNumId w:val="6"/>
  </w:num>
  <w:num w:numId="11" w16cid:durableId="591360613">
    <w:abstractNumId w:val="5"/>
  </w:num>
  <w:num w:numId="12" w16cid:durableId="2140022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5B"/>
    <w:rsid w:val="00002906"/>
    <w:rsid w:val="0001015F"/>
    <w:rsid w:val="00010286"/>
    <w:rsid w:val="00010A3C"/>
    <w:rsid w:val="00011E58"/>
    <w:rsid w:val="00011F18"/>
    <w:rsid w:val="00011F2B"/>
    <w:rsid w:val="00012E9A"/>
    <w:rsid w:val="00013FA0"/>
    <w:rsid w:val="00015A17"/>
    <w:rsid w:val="000163A1"/>
    <w:rsid w:val="000173DD"/>
    <w:rsid w:val="00021B67"/>
    <w:rsid w:val="00021D2C"/>
    <w:rsid w:val="00021F91"/>
    <w:rsid w:val="0002238C"/>
    <w:rsid w:val="0002322C"/>
    <w:rsid w:val="00023D6D"/>
    <w:rsid w:val="000245C8"/>
    <w:rsid w:val="00027641"/>
    <w:rsid w:val="00027F91"/>
    <w:rsid w:val="00030F64"/>
    <w:rsid w:val="00031149"/>
    <w:rsid w:val="000320C5"/>
    <w:rsid w:val="00032935"/>
    <w:rsid w:val="00032CE7"/>
    <w:rsid w:val="00032D0E"/>
    <w:rsid w:val="000341BB"/>
    <w:rsid w:val="00034C62"/>
    <w:rsid w:val="00043A6B"/>
    <w:rsid w:val="00050914"/>
    <w:rsid w:val="000510C7"/>
    <w:rsid w:val="00052748"/>
    <w:rsid w:val="00052BA4"/>
    <w:rsid w:val="00052FE5"/>
    <w:rsid w:val="00053DA4"/>
    <w:rsid w:val="00054DC1"/>
    <w:rsid w:val="00054FB6"/>
    <w:rsid w:val="000554A4"/>
    <w:rsid w:val="000556E4"/>
    <w:rsid w:val="000567F9"/>
    <w:rsid w:val="000614BA"/>
    <w:rsid w:val="00061B1B"/>
    <w:rsid w:val="00061EB1"/>
    <w:rsid w:val="000630EA"/>
    <w:rsid w:val="0006532B"/>
    <w:rsid w:val="00070385"/>
    <w:rsid w:val="00070763"/>
    <w:rsid w:val="000737B2"/>
    <w:rsid w:val="00074008"/>
    <w:rsid w:val="0007574D"/>
    <w:rsid w:val="000762B0"/>
    <w:rsid w:val="00076D12"/>
    <w:rsid w:val="000776E9"/>
    <w:rsid w:val="00082CFD"/>
    <w:rsid w:val="00083288"/>
    <w:rsid w:val="00084B35"/>
    <w:rsid w:val="00085EDE"/>
    <w:rsid w:val="00087296"/>
    <w:rsid w:val="000873E0"/>
    <w:rsid w:val="000903DB"/>
    <w:rsid w:val="0009275B"/>
    <w:rsid w:val="000A2798"/>
    <w:rsid w:val="000A379C"/>
    <w:rsid w:val="000A4873"/>
    <w:rsid w:val="000A4CA6"/>
    <w:rsid w:val="000A59C6"/>
    <w:rsid w:val="000A7343"/>
    <w:rsid w:val="000A763B"/>
    <w:rsid w:val="000A7E9F"/>
    <w:rsid w:val="000B12E5"/>
    <w:rsid w:val="000B1B90"/>
    <w:rsid w:val="000B4954"/>
    <w:rsid w:val="000B53EC"/>
    <w:rsid w:val="000B6733"/>
    <w:rsid w:val="000B6FDE"/>
    <w:rsid w:val="000B72BB"/>
    <w:rsid w:val="000B7463"/>
    <w:rsid w:val="000B7519"/>
    <w:rsid w:val="000B7D78"/>
    <w:rsid w:val="000C001E"/>
    <w:rsid w:val="000C012E"/>
    <w:rsid w:val="000C0668"/>
    <w:rsid w:val="000C1914"/>
    <w:rsid w:val="000C2B05"/>
    <w:rsid w:val="000C3F40"/>
    <w:rsid w:val="000C60AB"/>
    <w:rsid w:val="000C62EE"/>
    <w:rsid w:val="000C65E9"/>
    <w:rsid w:val="000C7906"/>
    <w:rsid w:val="000C7BEE"/>
    <w:rsid w:val="000D1859"/>
    <w:rsid w:val="000D1C5F"/>
    <w:rsid w:val="000D1DDD"/>
    <w:rsid w:val="000D2AD5"/>
    <w:rsid w:val="000D30A7"/>
    <w:rsid w:val="000D3E59"/>
    <w:rsid w:val="000D3EF1"/>
    <w:rsid w:val="000D514C"/>
    <w:rsid w:val="000E08F7"/>
    <w:rsid w:val="000E0AB1"/>
    <w:rsid w:val="000E1115"/>
    <w:rsid w:val="000E1755"/>
    <w:rsid w:val="000E1C11"/>
    <w:rsid w:val="000E22CD"/>
    <w:rsid w:val="000E2558"/>
    <w:rsid w:val="000E31F4"/>
    <w:rsid w:val="000E5726"/>
    <w:rsid w:val="000E6018"/>
    <w:rsid w:val="000E7CCF"/>
    <w:rsid w:val="000E7F57"/>
    <w:rsid w:val="000F067E"/>
    <w:rsid w:val="000F0A76"/>
    <w:rsid w:val="000F2DF5"/>
    <w:rsid w:val="000F3991"/>
    <w:rsid w:val="000F3A11"/>
    <w:rsid w:val="000F5356"/>
    <w:rsid w:val="001002BD"/>
    <w:rsid w:val="00105445"/>
    <w:rsid w:val="00107BEE"/>
    <w:rsid w:val="00115FB3"/>
    <w:rsid w:val="001233B3"/>
    <w:rsid w:val="001239DA"/>
    <w:rsid w:val="00124027"/>
    <w:rsid w:val="00124F69"/>
    <w:rsid w:val="0012524B"/>
    <w:rsid w:val="0013001E"/>
    <w:rsid w:val="001308C2"/>
    <w:rsid w:val="00132095"/>
    <w:rsid w:val="00132F58"/>
    <w:rsid w:val="0013674B"/>
    <w:rsid w:val="001417A4"/>
    <w:rsid w:val="00143193"/>
    <w:rsid w:val="00144CEF"/>
    <w:rsid w:val="0014644E"/>
    <w:rsid w:val="0014650A"/>
    <w:rsid w:val="00147621"/>
    <w:rsid w:val="00150261"/>
    <w:rsid w:val="001534D1"/>
    <w:rsid w:val="00153A4D"/>
    <w:rsid w:val="00153C4B"/>
    <w:rsid w:val="00155FC0"/>
    <w:rsid w:val="001606CE"/>
    <w:rsid w:val="00161FE0"/>
    <w:rsid w:val="0016227C"/>
    <w:rsid w:val="00164A08"/>
    <w:rsid w:val="0016607A"/>
    <w:rsid w:val="00170666"/>
    <w:rsid w:val="00172990"/>
    <w:rsid w:val="001734E4"/>
    <w:rsid w:val="00174084"/>
    <w:rsid w:val="00174AA5"/>
    <w:rsid w:val="001768CA"/>
    <w:rsid w:val="0017760C"/>
    <w:rsid w:val="00177B3F"/>
    <w:rsid w:val="001801B1"/>
    <w:rsid w:val="0018026E"/>
    <w:rsid w:val="0018060A"/>
    <w:rsid w:val="001832D0"/>
    <w:rsid w:val="00183E5B"/>
    <w:rsid w:val="0018442A"/>
    <w:rsid w:val="0018480D"/>
    <w:rsid w:val="00185595"/>
    <w:rsid w:val="00186448"/>
    <w:rsid w:val="00186527"/>
    <w:rsid w:val="001868A6"/>
    <w:rsid w:val="00186FA7"/>
    <w:rsid w:val="001872AB"/>
    <w:rsid w:val="00187A82"/>
    <w:rsid w:val="00191C23"/>
    <w:rsid w:val="00191CE3"/>
    <w:rsid w:val="00193C37"/>
    <w:rsid w:val="00193C47"/>
    <w:rsid w:val="00194643"/>
    <w:rsid w:val="001A0D0E"/>
    <w:rsid w:val="001A1152"/>
    <w:rsid w:val="001A120C"/>
    <w:rsid w:val="001A1E41"/>
    <w:rsid w:val="001A2098"/>
    <w:rsid w:val="001A2A95"/>
    <w:rsid w:val="001A2B06"/>
    <w:rsid w:val="001A3D47"/>
    <w:rsid w:val="001A5825"/>
    <w:rsid w:val="001A66C3"/>
    <w:rsid w:val="001A66CB"/>
    <w:rsid w:val="001B1620"/>
    <w:rsid w:val="001B18AE"/>
    <w:rsid w:val="001B27B0"/>
    <w:rsid w:val="001B47E9"/>
    <w:rsid w:val="001B5643"/>
    <w:rsid w:val="001B5680"/>
    <w:rsid w:val="001C0183"/>
    <w:rsid w:val="001C07E3"/>
    <w:rsid w:val="001C1CF8"/>
    <w:rsid w:val="001C5363"/>
    <w:rsid w:val="001C6466"/>
    <w:rsid w:val="001C6689"/>
    <w:rsid w:val="001C76F1"/>
    <w:rsid w:val="001D0362"/>
    <w:rsid w:val="001D099A"/>
    <w:rsid w:val="001D0ADD"/>
    <w:rsid w:val="001D3C16"/>
    <w:rsid w:val="001D4122"/>
    <w:rsid w:val="001D4484"/>
    <w:rsid w:val="001D7C5C"/>
    <w:rsid w:val="001E1157"/>
    <w:rsid w:val="001E2978"/>
    <w:rsid w:val="001E3096"/>
    <w:rsid w:val="001E3E33"/>
    <w:rsid w:val="001E3FC3"/>
    <w:rsid w:val="001E66E3"/>
    <w:rsid w:val="001E6E8D"/>
    <w:rsid w:val="001E7C90"/>
    <w:rsid w:val="001F0064"/>
    <w:rsid w:val="001F0793"/>
    <w:rsid w:val="001F2221"/>
    <w:rsid w:val="001F34E0"/>
    <w:rsid w:val="001F3E46"/>
    <w:rsid w:val="001F45CB"/>
    <w:rsid w:val="001F465A"/>
    <w:rsid w:val="001F4C77"/>
    <w:rsid w:val="001F7834"/>
    <w:rsid w:val="001F7EAA"/>
    <w:rsid w:val="0020314F"/>
    <w:rsid w:val="00203A94"/>
    <w:rsid w:val="00203DE0"/>
    <w:rsid w:val="00203E1D"/>
    <w:rsid w:val="00204BB9"/>
    <w:rsid w:val="00205374"/>
    <w:rsid w:val="00205B91"/>
    <w:rsid w:val="0020701D"/>
    <w:rsid w:val="002075DB"/>
    <w:rsid w:val="00214BF4"/>
    <w:rsid w:val="00215F81"/>
    <w:rsid w:val="00216376"/>
    <w:rsid w:val="0022474B"/>
    <w:rsid w:val="00226574"/>
    <w:rsid w:val="002305AE"/>
    <w:rsid w:val="002309BF"/>
    <w:rsid w:val="00230E8E"/>
    <w:rsid w:val="002319AD"/>
    <w:rsid w:val="00231E07"/>
    <w:rsid w:val="00232200"/>
    <w:rsid w:val="002342F4"/>
    <w:rsid w:val="002355BF"/>
    <w:rsid w:val="002356D2"/>
    <w:rsid w:val="00235966"/>
    <w:rsid w:val="0023620E"/>
    <w:rsid w:val="00237364"/>
    <w:rsid w:val="00241B17"/>
    <w:rsid w:val="0024253B"/>
    <w:rsid w:val="00242E25"/>
    <w:rsid w:val="002444A2"/>
    <w:rsid w:val="00250308"/>
    <w:rsid w:val="002506A1"/>
    <w:rsid w:val="00250723"/>
    <w:rsid w:val="00250F5C"/>
    <w:rsid w:val="002515B8"/>
    <w:rsid w:val="002531E6"/>
    <w:rsid w:val="00253222"/>
    <w:rsid w:val="00255BA4"/>
    <w:rsid w:val="00260890"/>
    <w:rsid w:val="002612EE"/>
    <w:rsid w:val="0026451F"/>
    <w:rsid w:val="00267002"/>
    <w:rsid w:val="00267160"/>
    <w:rsid w:val="00267402"/>
    <w:rsid w:val="00267E82"/>
    <w:rsid w:val="00270514"/>
    <w:rsid w:val="00270735"/>
    <w:rsid w:val="00270924"/>
    <w:rsid w:val="002728C4"/>
    <w:rsid w:val="002728C9"/>
    <w:rsid w:val="00272A87"/>
    <w:rsid w:val="002741EC"/>
    <w:rsid w:val="00275E5C"/>
    <w:rsid w:val="002770C2"/>
    <w:rsid w:val="00277333"/>
    <w:rsid w:val="00281333"/>
    <w:rsid w:val="00281443"/>
    <w:rsid w:val="0028234D"/>
    <w:rsid w:val="002832E5"/>
    <w:rsid w:val="00286800"/>
    <w:rsid w:val="0028687A"/>
    <w:rsid w:val="00286FEC"/>
    <w:rsid w:val="002877D5"/>
    <w:rsid w:val="00292426"/>
    <w:rsid w:val="00292FBA"/>
    <w:rsid w:val="002954DB"/>
    <w:rsid w:val="00297F89"/>
    <w:rsid w:val="002A0776"/>
    <w:rsid w:val="002A19B3"/>
    <w:rsid w:val="002A4093"/>
    <w:rsid w:val="002A45EE"/>
    <w:rsid w:val="002A5D46"/>
    <w:rsid w:val="002B1AC0"/>
    <w:rsid w:val="002B1E8F"/>
    <w:rsid w:val="002B1FF3"/>
    <w:rsid w:val="002B2AA7"/>
    <w:rsid w:val="002B3546"/>
    <w:rsid w:val="002B37C8"/>
    <w:rsid w:val="002B38AE"/>
    <w:rsid w:val="002B3D68"/>
    <w:rsid w:val="002B4095"/>
    <w:rsid w:val="002B4AA5"/>
    <w:rsid w:val="002B5531"/>
    <w:rsid w:val="002B6198"/>
    <w:rsid w:val="002B7162"/>
    <w:rsid w:val="002B75A9"/>
    <w:rsid w:val="002C241A"/>
    <w:rsid w:val="002C4465"/>
    <w:rsid w:val="002C4B34"/>
    <w:rsid w:val="002C52B7"/>
    <w:rsid w:val="002C6B90"/>
    <w:rsid w:val="002C7D92"/>
    <w:rsid w:val="002D2089"/>
    <w:rsid w:val="002D2319"/>
    <w:rsid w:val="002D29B5"/>
    <w:rsid w:val="002D2B43"/>
    <w:rsid w:val="002D3104"/>
    <w:rsid w:val="002D374D"/>
    <w:rsid w:val="002D3CE1"/>
    <w:rsid w:val="002D3E7D"/>
    <w:rsid w:val="002D4035"/>
    <w:rsid w:val="002D4DC8"/>
    <w:rsid w:val="002D6D52"/>
    <w:rsid w:val="002D6DD7"/>
    <w:rsid w:val="002E03FE"/>
    <w:rsid w:val="002E1696"/>
    <w:rsid w:val="002E2F02"/>
    <w:rsid w:val="002E570F"/>
    <w:rsid w:val="002E67FF"/>
    <w:rsid w:val="002E7031"/>
    <w:rsid w:val="002E717A"/>
    <w:rsid w:val="002F26D0"/>
    <w:rsid w:val="002F2892"/>
    <w:rsid w:val="002F3982"/>
    <w:rsid w:val="002F3CFB"/>
    <w:rsid w:val="002F4506"/>
    <w:rsid w:val="002F4768"/>
    <w:rsid w:val="002F5E7E"/>
    <w:rsid w:val="002F64F0"/>
    <w:rsid w:val="002F73F7"/>
    <w:rsid w:val="00302629"/>
    <w:rsid w:val="00303846"/>
    <w:rsid w:val="00306EB5"/>
    <w:rsid w:val="00307D45"/>
    <w:rsid w:val="003109B0"/>
    <w:rsid w:val="00310DB3"/>
    <w:rsid w:val="00311545"/>
    <w:rsid w:val="003115B5"/>
    <w:rsid w:val="003164F7"/>
    <w:rsid w:val="00317862"/>
    <w:rsid w:val="00317FEC"/>
    <w:rsid w:val="0032079C"/>
    <w:rsid w:val="0032574D"/>
    <w:rsid w:val="00325B13"/>
    <w:rsid w:val="00326223"/>
    <w:rsid w:val="0032637D"/>
    <w:rsid w:val="00326989"/>
    <w:rsid w:val="0033146A"/>
    <w:rsid w:val="00333640"/>
    <w:rsid w:val="00334F73"/>
    <w:rsid w:val="00335157"/>
    <w:rsid w:val="00335DFE"/>
    <w:rsid w:val="00340449"/>
    <w:rsid w:val="00340CE9"/>
    <w:rsid w:val="00340EE5"/>
    <w:rsid w:val="00343388"/>
    <w:rsid w:val="0034351A"/>
    <w:rsid w:val="00343D8D"/>
    <w:rsid w:val="003441A1"/>
    <w:rsid w:val="003446C3"/>
    <w:rsid w:val="003447BA"/>
    <w:rsid w:val="0035098F"/>
    <w:rsid w:val="00351F8B"/>
    <w:rsid w:val="0035206E"/>
    <w:rsid w:val="00352507"/>
    <w:rsid w:val="00352916"/>
    <w:rsid w:val="00355DCE"/>
    <w:rsid w:val="0035638C"/>
    <w:rsid w:val="0035792E"/>
    <w:rsid w:val="00360597"/>
    <w:rsid w:val="00361AAD"/>
    <w:rsid w:val="00363CE4"/>
    <w:rsid w:val="00364D71"/>
    <w:rsid w:val="0036709C"/>
    <w:rsid w:val="0036781E"/>
    <w:rsid w:val="00367F43"/>
    <w:rsid w:val="003714F7"/>
    <w:rsid w:val="003728F0"/>
    <w:rsid w:val="0037346D"/>
    <w:rsid w:val="003737DB"/>
    <w:rsid w:val="00376A01"/>
    <w:rsid w:val="00376B87"/>
    <w:rsid w:val="00376C2C"/>
    <w:rsid w:val="003806B1"/>
    <w:rsid w:val="00380F88"/>
    <w:rsid w:val="003834F3"/>
    <w:rsid w:val="003869A7"/>
    <w:rsid w:val="00386DF4"/>
    <w:rsid w:val="00390190"/>
    <w:rsid w:val="00390496"/>
    <w:rsid w:val="00390667"/>
    <w:rsid w:val="00390B22"/>
    <w:rsid w:val="00390D05"/>
    <w:rsid w:val="00390E93"/>
    <w:rsid w:val="00391C41"/>
    <w:rsid w:val="00391D07"/>
    <w:rsid w:val="0039498A"/>
    <w:rsid w:val="003953E3"/>
    <w:rsid w:val="00396712"/>
    <w:rsid w:val="003973EE"/>
    <w:rsid w:val="00397C0A"/>
    <w:rsid w:val="003A01A9"/>
    <w:rsid w:val="003A0C75"/>
    <w:rsid w:val="003A1006"/>
    <w:rsid w:val="003A2C2A"/>
    <w:rsid w:val="003A2CC7"/>
    <w:rsid w:val="003A585B"/>
    <w:rsid w:val="003A75E9"/>
    <w:rsid w:val="003B045F"/>
    <w:rsid w:val="003B04F0"/>
    <w:rsid w:val="003B0FF3"/>
    <w:rsid w:val="003B1DE3"/>
    <w:rsid w:val="003B3C9D"/>
    <w:rsid w:val="003B3D80"/>
    <w:rsid w:val="003B6127"/>
    <w:rsid w:val="003B77C7"/>
    <w:rsid w:val="003C345E"/>
    <w:rsid w:val="003C68EF"/>
    <w:rsid w:val="003C705A"/>
    <w:rsid w:val="003D1089"/>
    <w:rsid w:val="003D192C"/>
    <w:rsid w:val="003D2214"/>
    <w:rsid w:val="003D33C9"/>
    <w:rsid w:val="003D378F"/>
    <w:rsid w:val="003D4EC9"/>
    <w:rsid w:val="003D6024"/>
    <w:rsid w:val="003E1340"/>
    <w:rsid w:val="003E311C"/>
    <w:rsid w:val="003E3C02"/>
    <w:rsid w:val="003E5294"/>
    <w:rsid w:val="003E6589"/>
    <w:rsid w:val="003E6C68"/>
    <w:rsid w:val="003F053A"/>
    <w:rsid w:val="003F055B"/>
    <w:rsid w:val="003F094B"/>
    <w:rsid w:val="003F24F5"/>
    <w:rsid w:val="003F258C"/>
    <w:rsid w:val="003F2924"/>
    <w:rsid w:val="003F4776"/>
    <w:rsid w:val="003F5F37"/>
    <w:rsid w:val="003F6010"/>
    <w:rsid w:val="003F7B04"/>
    <w:rsid w:val="003F7B20"/>
    <w:rsid w:val="003F7E63"/>
    <w:rsid w:val="004000DB"/>
    <w:rsid w:val="004015FC"/>
    <w:rsid w:val="004034F5"/>
    <w:rsid w:val="0040351F"/>
    <w:rsid w:val="00405B63"/>
    <w:rsid w:val="004079CF"/>
    <w:rsid w:val="00407DCE"/>
    <w:rsid w:val="004108E0"/>
    <w:rsid w:val="00411AF3"/>
    <w:rsid w:val="004139C5"/>
    <w:rsid w:val="00413D03"/>
    <w:rsid w:val="004150AC"/>
    <w:rsid w:val="00415B45"/>
    <w:rsid w:val="00422746"/>
    <w:rsid w:val="0042360D"/>
    <w:rsid w:val="00426383"/>
    <w:rsid w:val="00426DA0"/>
    <w:rsid w:val="0043071B"/>
    <w:rsid w:val="00431669"/>
    <w:rsid w:val="00431D20"/>
    <w:rsid w:val="00432381"/>
    <w:rsid w:val="004325D4"/>
    <w:rsid w:val="00432858"/>
    <w:rsid w:val="00432EE6"/>
    <w:rsid w:val="00434DAF"/>
    <w:rsid w:val="00435A3E"/>
    <w:rsid w:val="00436D79"/>
    <w:rsid w:val="00437339"/>
    <w:rsid w:val="0043783F"/>
    <w:rsid w:val="00440D67"/>
    <w:rsid w:val="00441DD2"/>
    <w:rsid w:val="00450260"/>
    <w:rsid w:val="00450C43"/>
    <w:rsid w:val="00450DDA"/>
    <w:rsid w:val="00451DBF"/>
    <w:rsid w:val="00451E5F"/>
    <w:rsid w:val="004538FC"/>
    <w:rsid w:val="00453CEA"/>
    <w:rsid w:val="0045423C"/>
    <w:rsid w:val="0045546B"/>
    <w:rsid w:val="00456C5B"/>
    <w:rsid w:val="004571CA"/>
    <w:rsid w:val="004575F0"/>
    <w:rsid w:val="00460632"/>
    <w:rsid w:val="00461BEE"/>
    <w:rsid w:val="004650FC"/>
    <w:rsid w:val="004656A1"/>
    <w:rsid w:val="00465AFD"/>
    <w:rsid w:val="00467339"/>
    <w:rsid w:val="00467670"/>
    <w:rsid w:val="004701B9"/>
    <w:rsid w:val="004720F5"/>
    <w:rsid w:val="00472888"/>
    <w:rsid w:val="0047318B"/>
    <w:rsid w:val="00473236"/>
    <w:rsid w:val="004748FE"/>
    <w:rsid w:val="00475D63"/>
    <w:rsid w:val="00477D03"/>
    <w:rsid w:val="00481509"/>
    <w:rsid w:val="00482669"/>
    <w:rsid w:val="0048360F"/>
    <w:rsid w:val="00484361"/>
    <w:rsid w:val="00484E8E"/>
    <w:rsid w:val="0048517E"/>
    <w:rsid w:val="00491537"/>
    <w:rsid w:val="004929B5"/>
    <w:rsid w:val="00493356"/>
    <w:rsid w:val="004946E7"/>
    <w:rsid w:val="00497F35"/>
    <w:rsid w:val="004A24C1"/>
    <w:rsid w:val="004A32C3"/>
    <w:rsid w:val="004A3A1D"/>
    <w:rsid w:val="004A47A3"/>
    <w:rsid w:val="004A4B8C"/>
    <w:rsid w:val="004A6C63"/>
    <w:rsid w:val="004B369D"/>
    <w:rsid w:val="004B5221"/>
    <w:rsid w:val="004B728D"/>
    <w:rsid w:val="004B78D9"/>
    <w:rsid w:val="004B7B50"/>
    <w:rsid w:val="004B7DB6"/>
    <w:rsid w:val="004C0B16"/>
    <w:rsid w:val="004C183A"/>
    <w:rsid w:val="004C228D"/>
    <w:rsid w:val="004C3D2E"/>
    <w:rsid w:val="004C4B4D"/>
    <w:rsid w:val="004C4FEE"/>
    <w:rsid w:val="004C567E"/>
    <w:rsid w:val="004C5790"/>
    <w:rsid w:val="004C5832"/>
    <w:rsid w:val="004C7051"/>
    <w:rsid w:val="004C7418"/>
    <w:rsid w:val="004D0FA2"/>
    <w:rsid w:val="004D20E2"/>
    <w:rsid w:val="004D2BBE"/>
    <w:rsid w:val="004D2FFC"/>
    <w:rsid w:val="004D3B0E"/>
    <w:rsid w:val="004D4458"/>
    <w:rsid w:val="004D6B5E"/>
    <w:rsid w:val="004D71E2"/>
    <w:rsid w:val="004E0D7A"/>
    <w:rsid w:val="004E0FD5"/>
    <w:rsid w:val="004E169F"/>
    <w:rsid w:val="004E2864"/>
    <w:rsid w:val="004E3701"/>
    <w:rsid w:val="004E4820"/>
    <w:rsid w:val="004E65BB"/>
    <w:rsid w:val="004E6E07"/>
    <w:rsid w:val="004E791E"/>
    <w:rsid w:val="004F190E"/>
    <w:rsid w:val="004F2F7A"/>
    <w:rsid w:val="004F5A3F"/>
    <w:rsid w:val="004F5A5E"/>
    <w:rsid w:val="004F6A0C"/>
    <w:rsid w:val="005001B2"/>
    <w:rsid w:val="00501913"/>
    <w:rsid w:val="00501B86"/>
    <w:rsid w:val="005032F9"/>
    <w:rsid w:val="005038F7"/>
    <w:rsid w:val="00506010"/>
    <w:rsid w:val="005070D9"/>
    <w:rsid w:val="005103FB"/>
    <w:rsid w:val="00510D2D"/>
    <w:rsid w:val="005123E1"/>
    <w:rsid w:val="00512E30"/>
    <w:rsid w:val="00512E8A"/>
    <w:rsid w:val="005168EF"/>
    <w:rsid w:val="0051747A"/>
    <w:rsid w:val="00517E68"/>
    <w:rsid w:val="005201E4"/>
    <w:rsid w:val="005212A7"/>
    <w:rsid w:val="00521F87"/>
    <w:rsid w:val="005239CC"/>
    <w:rsid w:val="00524CEA"/>
    <w:rsid w:val="00524FE6"/>
    <w:rsid w:val="00525715"/>
    <w:rsid w:val="00526C27"/>
    <w:rsid w:val="00527706"/>
    <w:rsid w:val="00527AC6"/>
    <w:rsid w:val="005306BB"/>
    <w:rsid w:val="00531799"/>
    <w:rsid w:val="005351B5"/>
    <w:rsid w:val="0053551A"/>
    <w:rsid w:val="00536F70"/>
    <w:rsid w:val="00537796"/>
    <w:rsid w:val="005401E1"/>
    <w:rsid w:val="00541B64"/>
    <w:rsid w:val="00542588"/>
    <w:rsid w:val="005425DD"/>
    <w:rsid w:val="00543A34"/>
    <w:rsid w:val="005467E4"/>
    <w:rsid w:val="00546C52"/>
    <w:rsid w:val="00547065"/>
    <w:rsid w:val="00553C2F"/>
    <w:rsid w:val="005553A2"/>
    <w:rsid w:val="00555705"/>
    <w:rsid w:val="00555B68"/>
    <w:rsid w:val="005616EB"/>
    <w:rsid w:val="00563B7D"/>
    <w:rsid w:val="00564B9F"/>
    <w:rsid w:val="00567EF9"/>
    <w:rsid w:val="005704ED"/>
    <w:rsid w:val="00570A82"/>
    <w:rsid w:val="00571F5D"/>
    <w:rsid w:val="00572D75"/>
    <w:rsid w:val="005732C4"/>
    <w:rsid w:val="005749AE"/>
    <w:rsid w:val="0057693C"/>
    <w:rsid w:val="00576C45"/>
    <w:rsid w:val="005771AB"/>
    <w:rsid w:val="00581068"/>
    <w:rsid w:val="00581872"/>
    <w:rsid w:val="0058398F"/>
    <w:rsid w:val="00584306"/>
    <w:rsid w:val="00585064"/>
    <w:rsid w:val="00585718"/>
    <w:rsid w:val="00585811"/>
    <w:rsid w:val="00587BA3"/>
    <w:rsid w:val="005901F8"/>
    <w:rsid w:val="00592639"/>
    <w:rsid w:val="00592682"/>
    <w:rsid w:val="00592A1D"/>
    <w:rsid w:val="00593917"/>
    <w:rsid w:val="005965D7"/>
    <w:rsid w:val="00597390"/>
    <w:rsid w:val="00597513"/>
    <w:rsid w:val="005A16D6"/>
    <w:rsid w:val="005A1AAB"/>
    <w:rsid w:val="005A29AF"/>
    <w:rsid w:val="005A4200"/>
    <w:rsid w:val="005A4D67"/>
    <w:rsid w:val="005A5081"/>
    <w:rsid w:val="005A62F4"/>
    <w:rsid w:val="005A6A31"/>
    <w:rsid w:val="005B3585"/>
    <w:rsid w:val="005B3597"/>
    <w:rsid w:val="005B35B2"/>
    <w:rsid w:val="005B50A7"/>
    <w:rsid w:val="005B5DDD"/>
    <w:rsid w:val="005B6CBE"/>
    <w:rsid w:val="005B7011"/>
    <w:rsid w:val="005B7E26"/>
    <w:rsid w:val="005C4DA7"/>
    <w:rsid w:val="005C56BF"/>
    <w:rsid w:val="005C7317"/>
    <w:rsid w:val="005D01A7"/>
    <w:rsid w:val="005D05CA"/>
    <w:rsid w:val="005D13A0"/>
    <w:rsid w:val="005D1A06"/>
    <w:rsid w:val="005D340B"/>
    <w:rsid w:val="005D4BA7"/>
    <w:rsid w:val="005D4C28"/>
    <w:rsid w:val="005D4DC4"/>
    <w:rsid w:val="005D5CEF"/>
    <w:rsid w:val="005D62E1"/>
    <w:rsid w:val="005D69A8"/>
    <w:rsid w:val="005E02A5"/>
    <w:rsid w:val="005E12A3"/>
    <w:rsid w:val="005E2316"/>
    <w:rsid w:val="005E2BF2"/>
    <w:rsid w:val="005E332F"/>
    <w:rsid w:val="005E3FC4"/>
    <w:rsid w:val="005E4196"/>
    <w:rsid w:val="005E6D12"/>
    <w:rsid w:val="005E7118"/>
    <w:rsid w:val="005E7AB9"/>
    <w:rsid w:val="005F2A19"/>
    <w:rsid w:val="005F2CD7"/>
    <w:rsid w:val="005F33B9"/>
    <w:rsid w:val="005F4A35"/>
    <w:rsid w:val="005F5B97"/>
    <w:rsid w:val="005F62C0"/>
    <w:rsid w:val="005F7393"/>
    <w:rsid w:val="00603354"/>
    <w:rsid w:val="006033C8"/>
    <w:rsid w:val="00603EEF"/>
    <w:rsid w:val="0060518B"/>
    <w:rsid w:val="0060531F"/>
    <w:rsid w:val="00605920"/>
    <w:rsid w:val="0060593A"/>
    <w:rsid w:val="006069EB"/>
    <w:rsid w:val="0060761A"/>
    <w:rsid w:val="0060780B"/>
    <w:rsid w:val="006104A2"/>
    <w:rsid w:val="006104D5"/>
    <w:rsid w:val="006105DB"/>
    <w:rsid w:val="00612EEB"/>
    <w:rsid w:val="00613013"/>
    <w:rsid w:val="00613F85"/>
    <w:rsid w:val="006147A0"/>
    <w:rsid w:val="00616531"/>
    <w:rsid w:val="00616FAA"/>
    <w:rsid w:val="00620F33"/>
    <w:rsid w:val="006212D3"/>
    <w:rsid w:val="006222DB"/>
    <w:rsid w:val="00622634"/>
    <w:rsid w:val="0062297B"/>
    <w:rsid w:val="00622F87"/>
    <w:rsid w:val="006237E6"/>
    <w:rsid w:val="006244B6"/>
    <w:rsid w:val="00624C11"/>
    <w:rsid w:val="00625D01"/>
    <w:rsid w:val="00627A4C"/>
    <w:rsid w:val="00627AE2"/>
    <w:rsid w:val="00630833"/>
    <w:rsid w:val="006345E1"/>
    <w:rsid w:val="00636066"/>
    <w:rsid w:val="00636E61"/>
    <w:rsid w:val="006373DD"/>
    <w:rsid w:val="006374FC"/>
    <w:rsid w:val="0064082D"/>
    <w:rsid w:val="006430BB"/>
    <w:rsid w:val="00644C6F"/>
    <w:rsid w:val="00647C80"/>
    <w:rsid w:val="006508CB"/>
    <w:rsid w:val="00651CE9"/>
    <w:rsid w:val="00652A71"/>
    <w:rsid w:val="0065361C"/>
    <w:rsid w:val="00654C8D"/>
    <w:rsid w:val="00654D2E"/>
    <w:rsid w:val="00655CA5"/>
    <w:rsid w:val="006579BB"/>
    <w:rsid w:val="00661711"/>
    <w:rsid w:val="006617C6"/>
    <w:rsid w:val="00661E3B"/>
    <w:rsid w:val="006637BA"/>
    <w:rsid w:val="00664103"/>
    <w:rsid w:val="006641E4"/>
    <w:rsid w:val="006650AC"/>
    <w:rsid w:val="00667607"/>
    <w:rsid w:val="00667E65"/>
    <w:rsid w:val="00670FA0"/>
    <w:rsid w:val="00670FF9"/>
    <w:rsid w:val="00672A2A"/>
    <w:rsid w:val="00675578"/>
    <w:rsid w:val="00675DD2"/>
    <w:rsid w:val="00676271"/>
    <w:rsid w:val="00676F46"/>
    <w:rsid w:val="00676FB7"/>
    <w:rsid w:val="0067710D"/>
    <w:rsid w:val="00680BB7"/>
    <w:rsid w:val="006825D4"/>
    <w:rsid w:val="00682B8D"/>
    <w:rsid w:val="00682BF5"/>
    <w:rsid w:val="00683690"/>
    <w:rsid w:val="00683753"/>
    <w:rsid w:val="00684848"/>
    <w:rsid w:val="00685D29"/>
    <w:rsid w:val="00685E87"/>
    <w:rsid w:val="00686CA6"/>
    <w:rsid w:val="006901E2"/>
    <w:rsid w:val="006908C7"/>
    <w:rsid w:val="00690A28"/>
    <w:rsid w:val="00691004"/>
    <w:rsid w:val="00695D8A"/>
    <w:rsid w:val="00695EB2"/>
    <w:rsid w:val="00696DD0"/>
    <w:rsid w:val="00697893"/>
    <w:rsid w:val="006A06A3"/>
    <w:rsid w:val="006A211C"/>
    <w:rsid w:val="006A2F7A"/>
    <w:rsid w:val="006A507F"/>
    <w:rsid w:val="006A5F42"/>
    <w:rsid w:val="006A743A"/>
    <w:rsid w:val="006A7DFE"/>
    <w:rsid w:val="006B1583"/>
    <w:rsid w:val="006B1971"/>
    <w:rsid w:val="006B2C48"/>
    <w:rsid w:val="006B2F64"/>
    <w:rsid w:val="006B35CA"/>
    <w:rsid w:val="006B3643"/>
    <w:rsid w:val="006B5B7E"/>
    <w:rsid w:val="006B6ED8"/>
    <w:rsid w:val="006C0A34"/>
    <w:rsid w:val="006C1C26"/>
    <w:rsid w:val="006C1E45"/>
    <w:rsid w:val="006C221C"/>
    <w:rsid w:val="006C2324"/>
    <w:rsid w:val="006C400C"/>
    <w:rsid w:val="006C557A"/>
    <w:rsid w:val="006C5C1A"/>
    <w:rsid w:val="006C6136"/>
    <w:rsid w:val="006D0287"/>
    <w:rsid w:val="006D0B0F"/>
    <w:rsid w:val="006D114D"/>
    <w:rsid w:val="006D287D"/>
    <w:rsid w:val="006D34B2"/>
    <w:rsid w:val="006D3DEB"/>
    <w:rsid w:val="006D4A73"/>
    <w:rsid w:val="006D608A"/>
    <w:rsid w:val="006D6100"/>
    <w:rsid w:val="006D666F"/>
    <w:rsid w:val="006D6B31"/>
    <w:rsid w:val="006D7BC2"/>
    <w:rsid w:val="006E0E0B"/>
    <w:rsid w:val="006E1A4A"/>
    <w:rsid w:val="006E3876"/>
    <w:rsid w:val="006E3BA4"/>
    <w:rsid w:val="006E459B"/>
    <w:rsid w:val="006E4E43"/>
    <w:rsid w:val="006E69EF"/>
    <w:rsid w:val="006E6A30"/>
    <w:rsid w:val="006F023D"/>
    <w:rsid w:val="006F0A53"/>
    <w:rsid w:val="006F1361"/>
    <w:rsid w:val="006F1F12"/>
    <w:rsid w:val="006F27FC"/>
    <w:rsid w:val="006F56BE"/>
    <w:rsid w:val="006F5CEE"/>
    <w:rsid w:val="006F6C39"/>
    <w:rsid w:val="006F6CA6"/>
    <w:rsid w:val="006F740C"/>
    <w:rsid w:val="006F7E1D"/>
    <w:rsid w:val="007024F8"/>
    <w:rsid w:val="00704F3E"/>
    <w:rsid w:val="00706D34"/>
    <w:rsid w:val="00707851"/>
    <w:rsid w:val="00710945"/>
    <w:rsid w:val="00710DBA"/>
    <w:rsid w:val="00711EC5"/>
    <w:rsid w:val="00715711"/>
    <w:rsid w:val="007169B6"/>
    <w:rsid w:val="0071794A"/>
    <w:rsid w:val="00717E65"/>
    <w:rsid w:val="00717ED6"/>
    <w:rsid w:val="007201BE"/>
    <w:rsid w:val="00722BE4"/>
    <w:rsid w:val="007232DA"/>
    <w:rsid w:val="00723E34"/>
    <w:rsid w:val="007240D8"/>
    <w:rsid w:val="0072473F"/>
    <w:rsid w:val="007254F1"/>
    <w:rsid w:val="00725F05"/>
    <w:rsid w:val="0073067C"/>
    <w:rsid w:val="00730BC7"/>
    <w:rsid w:val="0073142E"/>
    <w:rsid w:val="00731A28"/>
    <w:rsid w:val="00731AB5"/>
    <w:rsid w:val="007331A8"/>
    <w:rsid w:val="0073538B"/>
    <w:rsid w:val="00735ACA"/>
    <w:rsid w:val="00735B98"/>
    <w:rsid w:val="00736318"/>
    <w:rsid w:val="00737829"/>
    <w:rsid w:val="00741099"/>
    <w:rsid w:val="0074189E"/>
    <w:rsid w:val="00743295"/>
    <w:rsid w:val="00743EC4"/>
    <w:rsid w:val="00744241"/>
    <w:rsid w:val="00744D63"/>
    <w:rsid w:val="00745DD9"/>
    <w:rsid w:val="00746970"/>
    <w:rsid w:val="00746E43"/>
    <w:rsid w:val="00746F90"/>
    <w:rsid w:val="00751738"/>
    <w:rsid w:val="007521A1"/>
    <w:rsid w:val="007522DF"/>
    <w:rsid w:val="007528C2"/>
    <w:rsid w:val="00752D2F"/>
    <w:rsid w:val="007566F1"/>
    <w:rsid w:val="00757561"/>
    <w:rsid w:val="00764B9B"/>
    <w:rsid w:val="00764ED1"/>
    <w:rsid w:val="00766A6D"/>
    <w:rsid w:val="007675D0"/>
    <w:rsid w:val="00767CD7"/>
    <w:rsid w:val="00770A75"/>
    <w:rsid w:val="00770AF1"/>
    <w:rsid w:val="00771C75"/>
    <w:rsid w:val="007731F0"/>
    <w:rsid w:val="00773BF7"/>
    <w:rsid w:val="00774995"/>
    <w:rsid w:val="00775A66"/>
    <w:rsid w:val="00780094"/>
    <w:rsid w:val="00780A4B"/>
    <w:rsid w:val="0078200B"/>
    <w:rsid w:val="00782574"/>
    <w:rsid w:val="00782837"/>
    <w:rsid w:val="00783533"/>
    <w:rsid w:val="00786026"/>
    <w:rsid w:val="007862FE"/>
    <w:rsid w:val="00786E34"/>
    <w:rsid w:val="00790A0E"/>
    <w:rsid w:val="00790C29"/>
    <w:rsid w:val="00790E1B"/>
    <w:rsid w:val="007919EC"/>
    <w:rsid w:val="0079226B"/>
    <w:rsid w:val="007922EB"/>
    <w:rsid w:val="0079316D"/>
    <w:rsid w:val="0079496F"/>
    <w:rsid w:val="0079503F"/>
    <w:rsid w:val="007959F4"/>
    <w:rsid w:val="007960B6"/>
    <w:rsid w:val="00797159"/>
    <w:rsid w:val="007A1E4E"/>
    <w:rsid w:val="007A2D9F"/>
    <w:rsid w:val="007A3612"/>
    <w:rsid w:val="007A4CE3"/>
    <w:rsid w:val="007A4E72"/>
    <w:rsid w:val="007A5090"/>
    <w:rsid w:val="007B06BC"/>
    <w:rsid w:val="007B1E32"/>
    <w:rsid w:val="007B3F96"/>
    <w:rsid w:val="007B443E"/>
    <w:rsid w:val="007B6359"/>
    <w:rsid w:val="007C1D19"/>
    <w:rsid w:val="007C2935"/>
    <w:rsid w:val="007C2DCD"/>
    <w:rsid w:val="007C30BC"/>
    <w:rsid w:val="007C3244"/>
    <w:rsid w:val="007C47CE"/>
    <w:rsid w:val="007C4AD7"/>
    <w:rsid w:val="007C52D5"/>
    <w:rsid w:val="007C583C"/>
    <w:rsid w:val="007C6618"/>
    <w:rsid w:val="007C6934"/>
    <w:rsid w:val="007C6957"/>
    <w:rsid w:val="007C7311"/>
    <w:rsid w:val="007C765B"/>
    <w:rsid w:val="007C78DB"/>
    <w:rsid w:val="007D0E4E"/>
    <w:rsid w:val="007D2106"/>
    <w:rsid w:val="007D3119"/>
    <w:rsid w:val="007D345D"/>
    <w:rsid w:val="007D3F9A"/>
    <w:rsid w:val="007D51FB"/>
    <w:rsid w:val="007D652A"/>
    <w:rsid w:val="007D6C27"/>
    <w:rsid w:val="007E00AC"/>
    <w:rsid w:val="007E0BCE"/>
    <w:rsid w:val="007E1B89"/>
    <w:rsid w:val="007E2469"/>
    <w:rsid w:val="007E2F48"/>
    <w:rsid w:val="007E3569"/>
    <w:rsid w:val="007E3C03"/>
    <w:rsid w:val="007E505E"/>
    <w:rsid w:val="007E51E6"/>
    <w:rsid w:val="007E5A36"/>
    <w:rsid w:val="007E7785"/>
    <w:rsid w:val="007F179D"/>
    <w:rsid w:val="007F3646"/>
    <w:rsid w:val="007F3EF7"/>
    <w:rsid w:val="007F4488"/>
    <w:rsid w:val="007F5B47"/>
    <w:rsid w:val="007F6090"/>
    <w:rsid w:val="007F72BA"/>
    <w:rsid w:val="00800AB7"/>
    <w:rsid w:val="00800E25"/>
    <w:rsid w:val="008034EF"/>
    <w:rsid w:val="00803B34"/>
    <w:rsid w:val="0080457D"/>
    <w:rsid w:val="0080481E"/>
    <w:rsid w:val="00805931"/>
    <w:rsid w:val="0080600A"/>
    <w:rsid w:val="00806188"/>
    <w:rsid w:val="00807628"/>
    <w:rsid w:val="00807718"/>
    <w:rsid w:val="00810BFC"/>
    <w:rsid w:val="00811B3B"/>
    <w:rsid w:val="00812634"/>
    <w:rsid w:val="0081400B"/>
    <w:rsid w:val="00814F8D"/>
    <w:rsid w:val="00815B24"/>
    <w:rsid w:val="00815DB3"/>
    <w:rsid w:val="00817C33"/>
    <w:rsid w:val="00817EE4"/>
    <w:rsid w:val="00817EFA"/>
    <w:rsid w:val="00820256"/>
    <w:rsid w:val="00822495"/>
    <w:rsid w:val="00822FC3"/>
    <w:rsid w:val="008241B5"/>
    <w:rsid w:val="00824748"/>
    <w:rsid w:val="008253A5"/>
    <w:rsid w:val="0082715F"/>
    <w:rsid w:val="00832818"/>
    <w:rsid w:val="008332DA"/>
    <w:rsid w:val="008338E7"/>
    <w:rsid w:val="00833D52"/>
    <w:rsid w:val="00834515"/>
    <w:rsid w:val="00835A9F"/>
    <w:rsid w:val="0083603E"/>
    <w:rsid w:val="00841384"/>
    <w:rsid w:val="00841F6C"/>
    <w:rsid w:val="008420C7"/>
    <w:rsid w:val="00842BD9"/>
    <w:rsid w:val="00843E67"/>
    <w:rsid w:val="0084578F"/>
    <w:rsid w:val="008461ED"/>
    <w:rsid w:val="00850577"/>
    <w:rsid w:val="00850C28"/>
    <w:rsid w:val="008514FA"/>
    <w:rsid w:val="00851DA9"/>
    <w:rsid w:val="00853248"/>
    <w:rsid w:val="0085489A"/>
    <w:rsid w:val="0085498A"/>
    <w:rsid w:val="00856499"/>
    <w:rsid w:val="0085683F"/>
    <w:rsid w:val="00857082"/>
    <w:rsid w:val="008573BB"/>
    <w:rsid w:val="0086109C"/>
    <w:rsid w:val="00863D69"/>
    <w:rsid w:val="008659C7"/>
    <w:rsid w:val="00866DE6"/>
    <w:rsid w:val="00866F1D"/>
    <w:rsid w:val="00867104"/>
    <w:rsid w:val="00870483"/>
    <w:rsid w:val="008725CE"/>
    <w:rsid w:val="00873AD9"/>
    <w:rsid w:val="008759E3"/>
    <w:rsid w:val="008763F5"/>
    <w:rsid w:val="00877A43"/>
    <w:rsid w:val="00880924"/>
    <w:rsid w:val="00881358"/>
    <w:rsid w:val="008824EC"/>
    <w:rsid w:val="008827B5"/>
    <w:rsid w:val="00883D0B"/>
    <w:rsid w:val="00883F4A"/>
    <w:rsid w:val="00885195"/>
    <w:rsid w:val="00885434"/>
    <w:rsid w:val="008854E0"/>
    <w:rsid w:val="008866B3"/>
    <w:rsid w:val="00886E8F"/>
    <w:rsid w:val="0088734D"/>
    <w:rsid w:val="00887589"/>
    <w:rsid w:val="00891DE1"/>
    <w:rsid w:val="00893542"/>
    <w:rsid w:val="008938C2"/>
    <w:rsid w:val="008950C1"/>
    <w:rsid w:val="00896A27"/>
    <w:rsid w:val="008A0A46"/>
    <w:rsid w:val="008A106D"/>
    <w:rsid w:val="008A1555"/>
    <w:rsid w:val="008A273C"/>
    <w:rsid w:val="008A2E01"/>
    <w:rsid w:val="008A3F92"/>
    <w:rsid w:val="008A4643"/>
    <w:rsid w:val="008B091E"/>
    <w:rsid w:val="008B2161"/>
    <w:rsid w:val="008B21A2"/>
    <w:rsid w:val="008B36AC"/>
    <w:rsid w:val="008B4002"/>
    <w:rsid w:val="008B4275"/>
    <w:rsid w:val="008B4AF7"/>
    <w:rsid w:val="008B5836"/>
    <w:rsid w:val="008C0425"/>
    <w:rsid w:val="008C0EF2"/>
    <w:rsid w:val="008C15DF"/>
    <w:rsid w:val="008C1B0A"/>
    <w:rsid w:val="008C1FC2"/>
    <w:rsid w:val="008C5EFA"/>
    <w:rsid w:val="008C7595"/>
    <w:rsid w:val="008D08DB"/>
    <w:rsid w:val="008D20B1"/>
    <w:rsid w:val="008D2213"/>
    <w:rsid w:val="008D3474"/>
    <w:rsid w:val="008D3DAA"/>
    <w:rsid w:val="008D599C"/>
    <w:rsid w:val="008D67A7"/>
    <w:rsid w:val="008D7A99"/>
    <w:rsid w:val="008E1E94"/>
    <w:rsid w:val="008E1EC8"/>
    <w:rsid w:val="008E2B81"/>
    <w:rsid w:val="008E36DE"/>
    <w:rsid w:val="008E3C3C"/>
    <w:rsid w:val="008E418A"/>
    <w:rsid w:val="008E4C69"/>
    <w:rsid w:val="008E755B"/>
    <w:rsid w:val="008E7974"/>
    <w:rsid w:val="008F04F4"/>
    <w:rsid w:val="008F101A"/>
    <w:rsid w:val="008F10BC"/>
    <w:rsid w:val="008F191F"/>
    <w:rsid w:val="008F2295"/>
    <w:rsid w:val="008F2D50"/>
    <w:rsid w:val="008F3350"/>
    <w:rsid w:val="008F3681"/>
    <w:rsid w:val="008F3D79"/>
    <w:rsid w:val="008F51CA"/>
    <w:rsid w:val="008F5418"/>
    <w:rsid w:val="008F6721"/>
    <w:rsid w:val="00900DFE"/>
    <w:rsid w:val="00903757"/>
    <w:rsid w:val="00904871"/>
    <w:rsid w:val="00907C00"/>
    <w:rsid w:val="00911CEF"/>
    <w:rsid w:val="009143EA"/>
    <w:rsid w:val="00914EB1"/>
    <w:rsid w:val="00916351"/>
    <w:rsid w:val="009171BC"/>
    <w:rsid w:val="00917442"/>
    <w:rsid w:val="00917713"/>
    <w:rsid w:val="009216FC"/>
    <w:rsid w:val="00924045"/>
    <w:rsid w:val="00926322"/>
    <w:rsid w:val="0093117B"/>
    <w:rsid w:val="00931462"/>
    <w:rsid w:val="00931C5B"/>
    <w:rsid w:val="00932866"/>
    <w:rsid w:val="00933659"/>
    <w:rsid w:val="00935387"/>
    <w:rsid w:val="009353C9"/>
    <w:rsid w:val="00936D46"/>
    <w:rsid w:val="00940EF9"/>
    <w:rsid w:val="00941ACA"/>
    <w:rsid w:val="00941D6E"/>
    <w:rsid w:val="00941DF0"/>
    <w:rsid w:val="00941FC3"/>
    <w:rsid w:val="00942870"/>
    <w:rsid w:val="00942E15"/>
    <w:rsid w:val="00944B24"/>
    <w:rsid w:val="0095050E"/>
    <w:rsid w:val="00953180"/>
    <w:rsid w:val="00953BDC"/>
    <w:rsid w:val="009548E7"/>
    <w:rsid w:val="009549DF"/>
    <w:rsid w:val="00957ACD"/>
    <w:rsid w:val="00960114"/>
    <w:rsid w:val="00960308"/>
    <w:rsid w:val="0096037F"/>
    <w:rsid w:val="0096108C"/>
    <w:rsid w:val="009619E7"/>
    <w:rsid w:val="00961D2F"/>
    <w:rsid w:val="0096549E"/>
    <w:rsid w:val="00965EF1"/>
    <w:rsid w:val="009660A3"/>
    <w:rsid w:val="00970C01"/>
    <w:rsid w:val="009716A7"/>
    <w:rsid w:val="00971B10"/>
    <w:rsid w:val="0097213E"/>
    <w:rsid w:val="00973D56"/>
    <w:rsid w:val="00974A80"/>
    <w:rsid w:val="00974EB1"/>
    <w:rsid w:val="009759C4"/>
    <w:rsid w:val="009759D9"/>
    <w:rsid w:val="00976092"/>
    <w:rsid w:val="0097621A"/>
    <w:rsid w:val="00976240"/>
    <w:rsid w:val="0097721D"/>
    <w:rsid w:val="009774EB"/>
    <w:rsid w:val="0097767D"/>
    <w:rsid w:val="00980174"/>
    <w:rsid w:val="009801A9"/>
    <w:rsid w:val="009804C3"/>
    <w:rsid w:val="009854F9"/>
    <w:rsid w:val="00986069"/>
    <w:rsid w:val="00986A48"/>
    <w:rsid w:val="00986AF5"/>
    <w:rsid w:val="00986DB8"/>
    <w:rsid w:val="009875B5"/>
    <w:rsid w:val="00987B9F"/>
    <w:rsid w:val="00990A63"/>
    <w:rsid w:val="0099128C"/>
    <w:rsid w:val="009914AF"/>
    <w:rsid w:val="0099206F"/>
    <w:rsid w:val="0099422A"/>
    <w:rsid w:val="009962AD"/>
    <w:rsid w:val="00997C39"/>
    <w:rsid w:val="00997DF9"/>
    <w:rsid w:val="009A1A7E"/>
    <w:rsid w:val="009A2D62"/>
    <w:rsid w:val="009A4C2C"/>
    <w:rsid w:val="009A7A90"/>
    <w:rsid w:val="009B19E3"/>
    <w:rsid w:val="009B2A92"/>
    <w:rsid w:val="009B47CA"/>
    <w:rsid w:val="009B5395"/>
    <w:rsid w:val="009B53FF"/>
    <w:rsid w:val="009B5874"/>
    <w:rsid w:val="009B623A"/>
    <w:rsid w:val="009B7DBA"/>
    <w:rsid w:val="009C12A4"/>
    <w:rsid w:val="009C12CE"/>
    <w:rsid w:val="009C26D9"/>
    <w:rsid w:val="009C369B"/>
    <w:rsid w:val="009C58EC"/>
    <w:rsid w:val="009C674D"/>
    <w:rsid w:val="009C6AED"/>
    <w:rsid w:val="009C6B2B"/>
    <w:rsid w:val="009C75BD"/>
    <w:rsid w:val="009D0596"/>
    <w:rsid w:val="009D327D"/>
    <w:rsid w:val="009D4F27"/>
    <w:rsid w:val="009D4FC9"/>
    <w:rsid w:val="009D4FF5"/>
    <w:rsid w:val="009D519C"/>
    <w:rsid w:val="009D5EE0"/>
    <w:rsid w:val="009D6D5E"/>
    <w:rsid w:val="009D7523"/>
    <w:rsid w:val="009D7F4C"/>
    <w:rsid w:val="009E07FB"/>
    <w:rsid w:val="009E1B87"/>
    <w:rsid w:val="009E1C08"/>
    <w:rsid w:val="009E2C38"/>
    <w:rsid w:val="009E32DB"/>
    <w:rsid w:val="009E4B01"/>
    <w:rsid w:val="009E7D87"/>
    <w:rsid w:val="009F0067"/>
    <w:rsid w:val="009F20A8"/>
    <w:rsid w:val="009F2E47"/>
    <w:rsid w:val="009F3B8C"/>
    <w:rsid w:val="009F4666"/>
    <w:rsid w:val="009F4FDB"/>
    <w:rsid w:val="009F5795"/>
    <w:rsid w:val="009F656A"/>
    <w:rsid w:val="00A01A07"/>
    <w:rsid w:val="00A04112"/>
    <w:rsid w:val="00A050E1"/>
    <w:rsid w:val="00A06A5A"/>
    <w:rsid w:val="00A074C4"/>
    <w:rsid w:val="00A0781D"/>
    <w:rsid w:val="00A07D40"/>
    <w:rsid w:val="00A1276B"/>
    <w:rsid w:val="00A1406C"/>
    <w:rsid w:val="00A160B5"/>
    <w:rsid w:val="00A20570"/>
    <w:rsid w:val="00A226B3"/>
    <w:rsid w:val="00A22989"/>
    <w:rsid w:val="00A233CB"/>
    <w:rsid w:val="00A23746"/>
    <w:rsid w:val="00A25364"/>
    <w:rsid w:val="00A25610"/>
    <w:rsid w:val="00A25C47"/>
    <w:rsid w:val="00A26170"/>
    <w:rsid w:val="00A263A7"/>
    <w:rsid w:val="00A266DA"/>
    <w:rsid w:val="00A267C4"/>
    <w:rsid w:val="00A301C8"/>
    <w:rsid w:val="00A30F46"/>
    <w:rsid w:val="00A310AB"/>
    <w:rsid w:val="00A3116F"/>
    <w:rsid w:val="00A31340"/>
    <w:rsid w:val="00A31935"/>
    <w:rsid w:val="00A33A76"/>
    <w:rsid w:val="00A35128"/>
    <w:rsid w:val="00A36453"/>
    <w:rsid w:val="00A375FE"/>
    <w:rsid w:val="00A37879"/>
    <w:rsid w:val="00A37A30"/>
    <w:rsid w:val="00A37DFE"/>
    <w:rsid w:val="00A4067B"/>
    <w:rsid w:val="00A40AC4"/>
    <w:rsid w:val="00A41646"/>
    <w:rsid w:val="00A41C50"/>
    <w:rsid w:val="00A41EBE"/>
    <w:rsid w:val="00A425A7"/>
    <w:rsid w:val="00A4337F"/>
    <w:rsid w:val="00A43475"/>
    <w:rsid w:val="00A43558"/>
    <w:rsid w:val="00A44DBC"/>
    <w:rsid w:val="00A4659A"/>
    <w:rsid w:val="00A509C5"/>
    <w:rsid w:val="00A5113E"/>
    <w:rsid w:val="00A5460B"/>
    <w:rsid w:val="00A54E0E"/>
    <w:rsid w:val="00A55409"/>
    <w:rsid w:val="00A55A55"/>
    <w:rsid w:val="00A56BB5"/>
    <w:rsid w:val="00A56C09"/>
    <w:rsid w:val="00A56F8B"/>
    <w:rsid w:val="00A57637"/>
    <w:rsid w:val="00A62308"/>
    <w:rsid w:val="00A65B85"/>
    <w:rsid w:val="00A671BE"/>
    <w:rsid w:val="00A7035C"/>
    <w:rsid w:val="00A72099"/>
    <w:rsid w:val="00A73009"/>
    <w:rsid w:val="00A73226"/>
    <w:rsid w:val="00A73E0D"/>
    <w:rsid w:val="00A753D0"/>
    <w:rsid w:val="00A75ACF"/>
    <w:rsid w:val="00A76276"/>
    <w:rsid w:val="00A76CD0"/>
    <w:rsid w:val="00A76CE3"/>
    <w:rsid w:val="00A77902"/>
    <w:rsid w:val="00A77C18"/>
    <w:rsid w:val="00A80D0F"/>
    <w:rsid w:val="00A80E8C"/>
    <w:rsid w:val="00A8193E"/>
    <w:rsid w:val="00A81B68"/>
    <w:rsid w:val="00A81B7B"/>
    <w:rsid w:val="00A81ED0"/>
    <w:rsid w:val="00A81FAC"/>
    <w:rsid w:val="00A81FB2"/>
    <w:rsid w:val="00A84955"/>
    <w:rsid w:val="00A879AA"/>
    <w:rsid w:val="00A901D3"/>
    <w:rsid w:val="00A904E4"/>
    <w:rsid w:val="00A91B44"/>
    <w:rsid w:val="00A92EB6"/>
    <w:rsid w:val="00A94843"/>
    <w:rsid w:val="00AA10BA"/>
    <w:rsid w:val="00AA44A0"/>
    <w:rsid w:val="00AA479B"/>
    <w:rsid w:val="00AA6927"/>
    <w:rsid w:val="00AA707A"/>
    <w:rsid w:val="00AA76B9"/>
    <w:rsid w:val="00AB03F3"/>
    <w:rsid w:val="00AB05DF"/>
    <w:rsid w:val="00AB18FE"/>
    <w:rsid w:val="00AB1E68"/>
    <w:rsid w:val="00AB242C"/>
    <w:rsid w:val="00AB2B70"/>
    <w:rsid w:val="00AB2E97"/>
    <w:rsid w:val="00AB30D1"/>
    <w:rsid w:val="00AB5CC2"/>
    <w:rsid w:val="00AC2532"/>
    <w:rsid w:val="00AC2CD8"/>
    <w:rsid w:val="00AC3F61"/>
    <w:rsid w:val="00AC453B"/>
    <w:rsid w:val="00AC67DB"/>
    <w:rsid w:val="00AD0D1C"/>
    <w:rsid w:val="00AD1F2E"/>
    <w:rsid w:val="00AD4A94"/>
    <w:rsid w:val="00AD59FF"/>
    <w:rsid w:val="00AD5C12"/>
    <w:rsid w:val="00AD64C0"/>
    <w:rsid w:val="00AD7B05"/>
    <w:rsid w:val="00AE0594"/>
    <w:rsid w:val="00AE129F"/>
    <w:rsid w:val="00AE1A0F"/>
    <w:rsid w:val="00AE2422"/>
    <w:rsid w:val="00AE2FC1"/>
    <w:rsid w:val="00AE6F4D"/>
    <w:rsid w:val="00AE7024"/>
    <w:rsid w:val="00AE74F2"/>
    <w:rsid w:val="00AE7E9D"/>
    <w:rsid w:val="00AF6718"/>
    <w:rsid w:val="00AF6ACA"/>
    <w:rsid w:val="00B01433"/>
    <w:rsid w:val="00B023E6"/>
    <w:rsid w:val="00B07175"/>
    <w:rsid w:val="00B07A42"/>
    <w:rsid w:val="00B07C8F"/>
    <w:rsid w:val="00B1060E"/>
    <w:rsid w:val="00B10F56"/>
    <w:rsid w:val="00B125D8"/>
    <w:rsid w:val="00B16ED2"/>
    <w:rsid w:val="00B17AA7"/>
    <w:rsid w:val="00B20B57"/>
    <w:rsid w:val="00B21B18"/>
    <w:rsid w:val="00B230F1"/>
    <w:rsid w:val="00B238B5"/>
    <w:rsid w:val="00B23ABF"/>
    <w:rsid w:val="00B23B80"/>
    <w:rsid w:val="00B24614"/>
    <w:rsid w:val="00B25485"/>
    <w:rsid w:val="00B261B7"/>
    <w:rsid w:val="00B30CA1"/>
    <w:rsid w:val="00B32428"/>
    <w:rsid w:val="00B3351B"/>
    <w:rsid w:val="00B344EF"/>
    <w:rsid w:val="00B34E93"/>
    <w:rsid w:val="00B4056E"/>
    <w:rsid w:val="00B42939"/>
    <w:rsid w:val="00B4376F"/>
    <w:rsid w:val="00B44133"/>
    <w:rsid w:val="00B4461C"/>
    <w:rsid w:val="00B44808"/>
    <w:rsid w:val="00B50286"/>
    <w:rsid w:val="00B5037C"/>
    <w:rsid w:val="00B523B1"/>
    <w:rsid w:val="00B53831"/>
    <w:rsid w:val="00B54616"/>
    <w:rsid w:val="00B54D8C"/>
    <w:rsid w:val="00B55917"/>
    <w:rsid w:val="00B5610A"/>
    <w:rsid w:val="00B60BB4"/>
    <w:rsid w:val="00B62FA3"/>
    <w:rsid w:val="00B63EC7"/>
    <w:rsid w:val="00B651BC"/>
    <w:rsid w:val="00B6542F"/>
    <w:rsid w:val="00B738ED"/>
    <w:rsid w:val="00B74752"/>
    <w:rsid w:val="00B752BA"/>
    <w:rsid w:val="00B81C24"/>
    <w:rsid w:val="00B857D7"/>
    <w:rsid w:val="00B86140"/>
    <w:rsid w:val="00B9133C"/>
    <w:rsid w:val="00B92861"/>
    <w:rsid w:val="00B93A6D"/>
    <w:rsid w:val="00B951AC"/>
    <w:rsid w:val="00B95343"/>
    <w:rsid w:val="00B96DE6"/>
    <w:rsid w:val="00BA1092"/>
    <w:rsid w:val="00BA2473"/>
    <w:rsid w:val="00BA2EE7"/>
    <w:rsid w:val="00BA3B96"/>
    <w:rsid w:val="00BA3EA1"/>
    <w:rsid w:val="00BA4E2E"/>
    <w:rsid w:val="00BA6625"/>
    <w:rsid w:val="00BA6997"/>
    <w:rsid w:val="00BA7F54"/>
    <w:rsid w:val="00BB01DA"/>
    <w:rsid w:val="00BB2312"/>
    <w:rsid w:val="00BB3EF6"/>
    <w:rsid w:val="00BB4547"/>
    <w:rsid w:val="00BB4593"/>
    <w:rsid w:val="00BB58E9"/>
    <w:rsid w:val="00BB5AA6"/>
    <w:rsid w:val="00BB5F98"/>
    <w:rsid w:val="00BC0752"/>
    <w:rsid w:val="00BC1765"/>
    <w:rsid w:val="00BC1DFC"/>
    <w:rsid w:val="00BD2B44"/>
    <w:rsid w:val="00BD3222"/>
    <w:rsid w:val="00BD38F2"/>
    <w:rsid w:val="00BD3B73"/>
    <w:rsid w:val="00BD49E8"/>
    <w:rsid w:val="00BD4AB4"/>
    <w:rsid w:val="00BD67A9"/>
    <w:rsid w:val="00BE0231"/>
    <w:rsid w:val="00BE1CA4"/>
    <w:rsid w:val="00BE26FF"/>
    <w:rsid w:val="00BE3D88"/>
    <w:rsid w:val="00BE3E59"/>
    <w:rsid w:val="00BE4F77"/>
    <w:rsid w:val="00BE4F81"/>
    <w:rsid w:val="00BE5D7B"/>
    <w:rsid w:val="00BE67FA"/>
    <w:rsid w:val="00BE7F0C"/>
    <w:rsid w:val="00BF1598"/>
    <w:rsid w:val="00BF1BC9"/>
    <w:rsid w:val="00BF3B70"/>
    <w:rsid w:val="00BF3E67"/>
    <w:rsid w:val="00BF48EB"/>
    <w:rsid w:val="00BF6224"/>
    <w:rsid w:val="00BF74EC"/>
    <w:rsid w:val="00BF75C4"/>
    <w:rsid w:val="00C00286"/>
    <w:rsid w:val="00C01058"/>
    <w:rsid w:val="00C01BD0"/>
    <w:rsid w:val="00C0693A"/>
    <w:rsid w:val="00C07385"/>
    <w:rsid w:val="00C11F50"/>
    <w:rsid w:val="00C134D6"/>
    <w:rsid w:val="00C15B8B"/>
    <w:rsid w:val="00C16315"/>
    <w:rsid w:val="00C1685D"/>
    <w:rsid w:val="00C16860"/>
    <w:rsid w:val="00C16910"/>
    <w:rsid w:val="00C17510"/>
    <w:rsid w:val="00C17547"/>
    <w:rsid w:val="00C175D0"/>
    <w:rsid w:val="00C207EF"/>
    <w:rsid w:val="00C21357"/>
    <w:rsid w:val="00C21C7F"/>
    <w:rsid w:val="00C22931"/>
    <w:rsid w:val="00C25786"/>
    <w:rsid w:val="00C271B5"/>
    <w:rsid w:val="00C27A42"/>
    <w:rsid w:val="00C304F2"/>
    <w:rsid w:val="00C314B5"/>
    <w:rsid w:val="00C34256"/>
    <w:rsid w:val="00C34BB7"/>
    <w:rsid w:val="00C34FCF"/>
    <w:rsid w:val="00C36E27"/>
    <w:rsid w:val="00C4130F"/>
    <w:rsid w:val="00C42F5F"/>
    <w:rsid w:val="00C42FED"/>
    <w:rsid w:val="00C45DAD"/>
    <w:rsid w:val="00C5070E"/>
    <w:rsid w:val="00C51339"/>
    <w:rsid w:val="00C51B6B"/>
    <w:rsid w:val="00C52302"/>
    <w:rsid w:val="00C5307B"/>
    <w:rsid w:val="00C54227"/>
    <w:rsid w:val="00C54DA5"/>
    <w:rsid w:val="00C57C7D"/>
    <w:rsid w:val="00C6303C"/>
    <w:rsid w:val="00C64472"/>
    <w:rsid w:val="00C70047"/>
    <w:rsid w:val="00C713DD"/>
    <w:rsid w:val="00C726C1"/>
    <w:rsid w:val="00C73751"/>
    <w:rsid w:val="00C752B7"/>
    <w:rsid w:val="00C757C9"/>
    <w:rsid w:val="00C765DF"/>
    <w:rsid w:val="00C77E25"/>
    <w:rsid w:val="00C807F4"/>
    <w:rsid w:val="00C82423"/>
    <w:rsid w:val="00C845F2"/>
    <w:rsid w:val="00C84BE7"/>
    <w:rsid w:val="00C86850"/>
    <w:rsid w:val="00C872D3"/>
    <w:rsid w:val="00C9144B"/>
    <w:rsid w:val="00C91F85"/>
    <w:rsid w:val="00C9265F"/>
    <w:rsid w:val="00C947DA"/>
    <w:rsid w:val="00C95300"/>
    <w:rsid w:val="00C95321"/>
    <w:rsid w:val="00C96942"/>
    <w:rsid w:val="00CA0142"/>
    <w:rsid w:val="00CA1FE9"/>
    <w:rsid w:val="00CA2355"/>
    <w:rsid w:val="00CA2D18"/>
    <w:rsid w:val="00CA3AE6"/>
    <w:rsid w:val="00CA418F"/>
    <w:rsid w:val="00CA4D47"/>
    <w:rsid w:val="00CA69BD"/>
    <w:rsid w:val="00CA6B68"/>
    <w:rsid w:val="00CA75A8"/>
    <w:rsid w:val="00CA7751"/>
    <w:rsid w:val="00CB06E9"/>
    <w:rsid w:val="00CB1238"/>
    <w:rsid w:val="00CB14DE"/>
    <w:rsid w:val="00CB19C5"/>
    <w:rsid w:val="00CB2168"/>
    <w:rsid w:val="00CB3832"/>
    <w:rsid w:val="00CB791B"/>
    <w:rsid w:val="00CC04BC"/>
    <w:rsid w:val="00CC0E36"/>
    <w:rsid w:val="00CC1030"/>
    <w:rsid w:val="00CC1FC0"/>
    <w:rsid w:val="00CC261F"/>
    <w:rsid w:val="00CC47E1"/>
    <w:rsid w:val="00CC5630"/>
    <w:rsid w:val="00CC6096"/>
    <w:rsid w:val="00CC7626"/>
    <w:rsid w:val="00CC7B5E"/>
    <w:rsid w:val="00CC7EC5"/>
    <w:rsid w:val="00CD046D"/>
    <w:rsid w:val="00CD07F8"/>
    <w:rsid w:val="00CD0FF2"/>
    <w:rsid w:val="00CD44EE"/>
    <w:rsid w:val="00CD566D"/>
    <w:rsid w:val="00CE08C1"/>
    <w:rsid w:val="00CE1764"/>
    <w:rsid w:val="00CE348C"/>
    <w:rsid w:val="00CE4783"/>
    <w:rsid w:val="00CE4EC4"/>
    <w:rsid w:val="00CE4F8F"/>
    <w:rsid w:val="00CE5A7D"/>
    <w:rsid w:val="00CE7CA8"/>
    <w:rsid w:val="00CF0E09"/>
    <w:rsid w:val="00CF1451"/>
    <w:rsid w:val="00CF169F"/>
    <w:rsid w:val="00CF1810"/>
    <w:rsid w:val="00CF1D9E"/>
    <w:rsid w:val="00CF33B9"/>
    <w:rsid w:val="00CF3D4C"/>
    <w:rsid w:val="00CF4983"/>
    <w:rsid w:val="00D0120D"/>
    <w:rsid w:val="00D07218"/>
    <w:rsid w:val="00D11C18"/>
    <w:rsid w:val="00D127B3"/>
    <w:rsid w:val="00D12AF0"/>
    <w:rsid w:val="00D209DC"/>
    <w:rsid w:val="00D222C6"/>
    <w:rsid w:val="00D22D84"/>
    <w:rsid w:val="00D230A7"/>
    <w:rsid w:val="00D23D34"/>
    <w:rsid w:val="00D25BA9"/>
    <w:rsid w:val="00D25D9C"/>
    <w:rsid w:val="00D27A8A"/>
    <w:rsid w:val="00D27CAC"/>
    <w:rsid w:val="00D304E8"/>
    <w:rsid w:val="00D31496"/>
    <w:rsid w:val="00D37729"/>
    <w:rsid w:val="00D3799E"/>
    <w:rsid w:val="00D401DD"/>
    <w:rsid w:val="00D4274E"/>
    <w:rsid w:val="00D44D95"/>
    <w:rsid w:val="00D47B75"/>
    <w:rsid w:val="00D504BE"/>
    <w:rsid w:val="00D52532"/>
    <w:rsid w:val="00D52535"/>
    <w:rsid w:val="00D5564A"/>
    <w:rsid w:val="00D5587D"/>
    <w:rsid w:val="00D5627E"/>
    <w:rsid w:val="00D57236"/>
    <w:rsid w:val="00D60269"/>
    <w:rsid w:val="00D615D7"/>
    <w:rsid w:val="00D627DF"/>
    <w:rsid w:val="00D62B7A"/>
    <w:rsid w:val="00D6309D"/>
    <w:rsid w:val="00D63C4F"/>
    <w:rsid w:val="00D64149"/>
    <w:rsid w:val="00D641D5"/>
    <w:rsid w:val="00D648F5"/>
    <w:rsid w:val="00D64B9E"/>
    <w:rsid w:val="00D64E8E"/>
    <w:rsid w:val="00D65A6B"/>
    <w:rsid w:val="00D65A84"/>
    <w:rsid w:val="00D65EE2"/>
    <w:rsid w:val="00D70918"/>
    <w:rsid w:val="00D70FDF"/>
    <w:rsid w:val="00D72DD5"/>
    <w:rsid w:val="00D72F9E"/>
    <w:rsid w:val="00D73E18"/>
    <w:rsid w:val="00D7568D"/>
    <w:rsid w:val="00D75E12"/>
    <w:rsid w:val="00D810A8"/>
    <w:rsid w:val="00D824F3"/>
    <w:rsid w:val="00D82A54"/>
    <w:rsid w:val="00D835E3"/>
    <w:rsid w:val="00D84908"/>
    <w:rsid w:val="00D85054"/>
    <w:rsid w:val="00D8589F"/>
    <w:rsid w:val="00D86828"/>
    <w:rsid w:val="00D870D0"/>
    <w:rsid w:val="00D9251F"/>
    <w:rsid w:val="00D93213"/>
    <w:rsid w:val="00D93F40"/>
    <w:rsid w:val="00D9418D"/>
    <w:rsid w:val="00DA0329"/>
    <w:rsid w:val="00DA2722"/>
    <w:rsid w:val="00DA27F8"/>
    <w:rsid w:val="00DA742B"/>
    <w:rsid w:val="00DB044A"/>
    <w:rsid w:val="00DB29BE"/>
    <w:rsid w:val="00DB2D8A"/>
    <w:rsid w:val="00DB332B"/>
    <w:rsid w:val="00DB4499"/>
    <w:rsid w:val="00DB4A5F"/>
    <w:rsid w:val="00DB4C03"/>
    <w:rsid w:val="00DB5DFD"/>
    <w:rsid w:val="00DB6DE7"/>
    <w:rsid w:val="00DB7F4C"/>
    <w:rsid w:val="00DC3092"/>
    <w:rsid w:val="00DC39FA"/>
    <w:rsid w:val="00DC594D"/>
    <w:rsid w:val="00DD23F8"/>
    <w:rsid w:val="00DD4630"/>
    <w:rsid w:val="00DD46BD"/>
    <w:rsid w:val="00DD50B1"/>
    <w:rsid w:val="00DD51FC"/>
    <w:rsid w:val="00DD52BE"/>
    <w:rsid w:val="00DD605A"/>
    <w:rsid w:val="00DD6D20"/>
    <w:rsid w:val="00DD7CD8"/>
    <w:rsid w:val="00DE1B29"/>
    <w:rsid w:val="00DE1C27"/>
    <w:rsid w:val="00DE206A"/>
    <w:rsid w:val="00DE5990"/>
    <w:rsid w:val="00DF1DDA"/>
    <w:rsid w:val="00DF264E"/>
    <w:rsid w:val="00DF2B61"/>
    <w:rsid w:val="00DF3803"/>
    <w:rsid w:val="00DF5254"/>
    <w:rsid w:val="00DF7975"/>
    <w:rsid w:val="00E006EF"/>
    <w:rsid w:val="00E026F2"/>
    <w:rsid w:val="00E0307F"/>
    <w:rsid w:val="00E03209"/>
    <w:rsid w:val="00E03A56"/>
    <w:rsid w:val="00E049E2"/>
    <w:rsid w:val="00E07220"/>
    <w:rsid w:val="00E114D3"/>
    <w:rsid w:val="00E12DA6"/>
    <w:rsid w:val="00E13CCF"/>
    <w:rsid w:val="00E2029A"/>
    <w:rsid w:val="00E215C2"/>
    <w:rsid w:val="00E22470"/>
    <w:rsid w:val="00E22B5E"/>
    <w:rsid w:val="00E22F70"/>
    <w:rsid w:val="00E2573C"/>
    <w:rsid w:val="00E26EDE"/>
    <w:rsid w:val="00E30230"/>
    <w:rsid w:val="00E30F6D"/>
    <w:rsid w:val="00E34C76"/>
    <w:rsid w:val="00E35445"/>
    <w:rsid w:val="00E3590D"/>
    <w:rsid w:val="00E35CA0"/>
    <w:rsid w:val="00E35E53"/>
    <w:rsid w:val="00E35FD0"/>
    <w:rsid w:val="00E36E7A"/>
    <w:rsid w:val="00E428D5"/>
    <w:rsid w:val="00E42CD0"/>
    <w:rsid w:val="00E44BE0"/>
    <w:rsid w:val="00E45B46"/>
    <w:rsid w:val="00E45DAA"/>
    <w:rsid w:val="00E46BFC"/>
    <w:rsid w:val="00E46DBC"/>
    <w:rsid w:val="00E47CB4"/>
    <w:rsid w:val="00E50746"/>
    <w:rsid w:val="00E50838"/>
    <w:rsid w:val="00E50DA5"/>
    <w:rsid w:val="00E52CFF"/>
    <w:rsid w:val="00E53470"/>
    <w:rsid w:val="00E54176"/>
    <w:rsid w:val="00E54396"/>
    <w:rsid w:val="00E54EC8"/>
    <w:rsid w:val="00E55640"/>
    <w:rsid w:val="00E60B99"/>
    <w:rsid w:val="00E61A31"/>
    <w:rsid w:val="00E61A34"/>
    <w:rsid w:val="00E62208"/>
    <w:rsid w:val="00E627CE"/>
    <w:rsid w:val="00E62948"/>
    <w:rsid w:val="00E64816"/>
    <w:rsid w:val="00E678FC"/>
    <w:rsid w:val="00E67DC6"/>
    <w:rsid w:val="00E7011B"/>
    <w:rsid w:val="00E705E9"/>
    <w:rsid w:val="00E714C7"/>
    <w:rsid w:val="00E71A0E"/>
    <w:rsid w:val="00E72294"/>
    <w:rsid w:val="00E7277C"/>
    <w:rsid w:val="00E72B95"/>
    <w:rsid w:val="00E731D2"/>
    <w:rsid w:val="00E73EC2"/>
    <w:rsid w:val="00E74321"/>
    <w:rsid w:val="00E7454C"/>
    <w:rsid w:val="00E74AB2"/>
    <w:rsid w:val="00E76566"/>
    <w:rsid w:val="00E77E4C"/>
    <w:rsid w:val="00E801E4"/>
    <w:rsid w:val="00E83861"/>
    <w:rsid w:val="00E85344"/>
    <w:rsid w:val="00E86DB8"/>
    <w:rsid w:val="00E876D2"/>
    <w:rsid w:val="00E8778A"/>
    <w:rsid w:val="00E87E1B"/>
    <w:rsid w:val="00E90AE4"/>
    <w:rsid w:val="00E90DD8"/>
    <w:rsid w:val="00E90FFF"/>
    <w:rsid w:val="00E93BAD"/>
    <w:rsid w:val="00E94CDC"/>
    <w:rsid w:val="00E94EBD"/>
    <w:rsid w:val="00E9515A"/>
    <w:rsid w:val="00E96155"/>
    <w:rsid w:val="00E97353"/>
    <w:rsid w:val="00E97C86"/>
    <w:rsid w:val="00EA186D"/>
    <w:rsid w:val="00EA2238"/>
    <w:rsid w:val="00EA2D4F"/>
    <w:rsid w:val="00EA3157"/>
    <w:rsid w:val="00EA32B0"/>
    <w:rsid w:val="00EA405B"/>
    <w:rsid w:val="00EA61C8"/>
    <w:rsid w:val="00EA6B1E"/>
    <w:rsid w:val="00EA7434"/>
    <w:rsid w:val="00EA74C6"/>
    <w:rsid w:val="00EB0635"/>
    <w:rsid w:val="00EB106B"/>
    <w:rsid w:val="00EB20E8"/>
    <w:rsid w:val="00EB553E"/>
    <w:rsid w:val="00EB7092"/>
    <w:rsid w:val="00EC086E"/>
    <w:rsid w:val="00EC0DCA"/>
    <w:rsid w:val="00EC1E26"/>
    <w:rsid w:val="00EC54D8"/>
    <w:rsid w:val="00EC5EEE"/>
    <w:rsid w:val="00EC6024"/>
    <w:rsid w:val="00ED0379"/>
    <w:rsid w:val="00ED04C4"/>
    <w:rsid w:val="00ED20BC"/>
    <w:rsid w:val="00ED373E"/>
    <w:rsid w:val="00ED5FDE"/>
    <w:rsid w:val="00ED637B"/>
    <w:rsid w:val="00ED6A03"/>
    <w:rsid w:val="00ED6F80"/>
    <w:rsid w:val="00ED7D37"/>
    <w:rsid w:val="00ED7F3E"/>
    <w:rsid w:val="00EE0AD2"/>
    <w:rsid w:val="00EE0DDC"/>
    <w:rsid w:val="00EE0E6A"/>
    <w:rsid w:val="00EE4800"/>
    <w:rsid w:val="00EE537E"/>
    <w:rsid w:val="00EE550F"/>
    <w:rsid w:val="00EE5620"/>
    <w:rsid w:val="00EF09BF"/>
    <w:rsid w:val="00EF10CF"/>
    <w:rsid w:val="00EF344F"/>
    <w:rsid w:val="00EF5835"/>
    <w:rsid w:val="00EF5982"/>
    <w:rsid w:val="00EF5F1D"/>
    <w:rsid w:val="00EF60C8"/>
    <w:rsid w:val="00EF6BEC"/>
    <w:rsid w:val="00EF6D53"/>
    <w:rsid w:val="00EF79DD"/>
    <w:rsid w:val="00F008EF"/>
    <w:rsid w:val="00F01170"/>
    <w:rsid w:val="00F01F1B"/>
    <w:rsid w:val="00F02734"/>
    <w:rsid w:val="00F03019"/>
    <w:rsid w:val="00F05233"/>
    <w:rsid w:val="00F055D6"/>
    <w:rsid w:val="00F05D1A"/>
    <w:rsid w:val="00F06093"/>
    <w:rsid w:val="00F072CB"/>
    <w:rsid w:val="00F11AEB"/>
    <w:rsid w:val="00F12A42"/>
    <w:rsid w:val="00F12D3D"/>
    <w:rsid w:val="00F136A8"/>
    <w:rsid w:val="00F14AD8"/>
    <w:rsid w:val="00F1500D"/>
    <w:rsid w:val="00F1527B"/>
    <w:rsid w:val="00F156B5"/>
    <w:rsid w:val="00F2050C"/>
    <w:rsid w:val="00F20841"/>
    <w:rsid w:val="00F20A28"/>
    <w:rsid w:val="00F21031"/>
    <w:rsid w:val="00F21913"/>
    <w:rsid w:val="00F256C1"/>
    <w:rsid w:val="00F26B42"/>
    <w:rsid w:val="00F26CB1"/>
    <w:rsid w:val="00F27BFB"/>
    <w:rsid w:val="00F30C6F"/>
    <w:rsid w:val="00F3221B"/>
    <w:rsid w:val="00F3333B"/>
    <w:rsid w:val="00F3446A"/>
    <w:rsid w:val="00F36462"/>
    <w:rsid w:val="00F36908"/>
    <w:rsid w:val="00F43096"/>
    <w:rsid w:val="00F43DA6"/>
    <w:rsid w:val="00F441B4"/>
    <w:rsid w:val="00F443C2"/>
    <w:rsid w:val="00F44993"/>
    <w:rsid w:val="00F527AC"/>
    <w:rsid w:val="00F54784"/>
    <w:rsid w:val="00F56BA0"/>
    <w:rsid w:val="00F622DB"/>
    <w:rsid w:val="00F628FE"/>
    <w:rsid w:val="00F629FA"/>
    <w:rsid w:val="00F63111"/>
    <w:rsid w:val="00F631B3"/>
    <w:rsid w:val="00F63712"/>
    <w:rsid w:val="00F64BE3"/>
    <w:rsid w:val="00F66634"/>
    <w:rsid w:val="00F666FC"/>
    <w:rsid w:val="00F66F9F"/>
    <w:rsid w:val="00F71E62"/>
    <w:rsid w:val="00F74D74"/>
    <w:rsid w:val="00F753E1"/>
    <w:rsid w:val="00F75D85"/>
    <w:rsid w:val="00F77057"/>
    <w:rsid w:val="00F772A9"/>
    <w:rsid w:val="00F7734D"/>
    <w:rsid w:val="00F77D5A"/>
    <w:rsid w:val="00F8076C"/>
    <w:rsid w:val="00F80A17"/>
    <w:rsid w:val="00F812CE"/>
    <w:rsid w:val="00F8271D"/>
    <w:rsid w:val="00F83559"/>
    <w:rsid w:val="00F8481A"/>
    <w:rsid w:val="00F90241"/>
    <w:rsid w:val="00F90554"/>
    <w:rsid w:val="00F90E2A"/>
    <w:rsid w:val="00F91BA6"/>
    <w:rsid w:val="00F92014"/>
    <w:rsid w:val="00F95BD1"/>
    <w:rsid w:val="00F96098"/>
    <w:rsid w:val="00F96F0C"/>
    <w:rsid w:val="00F97602"/>
    <w:rsid w:val="00FA081F"/>
    <w:rsid w:val="00FA1884"/>
    <w:rsid w:val="00FA60B4"/>
    <w:rsid w:val="00FA757A"/>
    <w:rsid w:val="00FB1348"/>
    <w:rsid w:val="00FB147B"/>
    <w:rsid w:val="00FB2488"/>
    <w:rsid w:val="00FB389B"/>
    <w:rsid w:val="00FB4325"/>
    <w:rsid w:val="00FB46F4"/>
    <w:rsid w:val="00FB7E39"/>
    <w:rsid w:val="00FC04D7"/>
    <w:rsid w:val="00FC0824"/>
    <w:rsid w:val="00FC368C"/>
    <w:rsid w:val="00FC3DE6"/>
    <w:rsid w:val="00FD05B0"/>
    <w:rsid w:val="00FD0EAC"/>
    <w:rsid w:val="00FD225C"/>
    <w:rsid w:val="00FD2514"/>
    <w:rsid w:val="00FD2DF0"/>
    <w:rsid w:val="00FD4231"/>
    <w:rsid w:val="00FD5DF2"/>
    <w:rsid w:val="00FD6DE1"/>
    <w:rsid w:val="00FE0ABF"/>
    <w:rsid w:val="00FE0E65"/>
    <w:rsid w:val="00FE2EA6"/>
    <w:rsid w:val="00FE2F18"/>
    <w:rsid w:val="00FE300C"/>
    <w:rsid w:val="00FE30C6"/>
    <w:rsid w:val="00FE36DF"/>
    <w:rsid w:val="00FE3DBC"/>
    <w:rsid w:val="00FE516B"/>
    <w:rsid w:val="00FE5BDB"/>
    <w:rsid w:val="00FE5C9F"/>
    <w:rsid w:val="00FE6091"/>
    <w:rsid w:val="00FE7488"/>
    <w:rsid w:val="00FF1CBF"/>
    <w:rsid w:val="00FF2708"/>
    <w:rsid w:val="00FF5E32"/>
    <w:rsid w:val="00FF63DC"/>
    <w:rsid w:val="00FF6437"/>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B48C627"/>
  <w15:docId w15:val="{8D8160AE-6BE3-B447-A51B-4FDA76B1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04F4"/>
    <w:pPr>
      <w:jc w:val="both"/>
    </w:pPr>
    <w:rPr>
      <w:rFonts w:ascii="Garamond" w:hAnsi="Garamond"/>
      <w:lang w:val="en-GB" w:eastAsia="en-GB"/>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E12DA6"/>
    <w:pPr>
      <w:spacing w:before="240" w:after="60"/>
      <w:outlineLvl w:val="1"/>
    </w:pPr>
    <w:rPr>
      <w:rFonts w:eastAsia="Cambria"/>
      <w:bCs w:val="0"/>
      <w:color w:val="548DD4"/>
      <w:sz w:val="28"/>
      <w:szCs w:val="22"/>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12DA6"/>
    <w:rPr>
      <w:rFonts w:ascii="Garamond" w:hAnsi="Garamond"/>
      <w:b/>
      <w:color w:val="548DD4"/>
      <w:sz w:val="28"/>
      <w:szCs w:val="22"/>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nresolvedMention">
    <w:name w:val="Unresolved Mention"/>
    <w:basedOn w:val="DefaultParagraphFont"/>
    <w:uiPriority w:val="99"/>
    <w:rsid w:val="007B1E3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444">
      <w:bodyDiv w:val="1"/>
      <w:marLeft w:val="0"/>
      <w:marRight w:val="0"/>
      <w:marTop w:val="0"/>
      <w:marBottom w:val="0"/>
      <w:divBdr>
        <w:top w:val="none" w:sz="0" w:space="0" w:color="auto"/>
        <w:left w:val="none" w:sz="0" w:space="0" w:color="auto"/>
        <w:bottom w:val="none" w:sz="0" w:space="0" w:color="auto"/>
        <w:right w:val="none" w:sz="0" w:space="0" w:color="auto"/>
      </w:divBdr>
    </w:div>
    <w:div w:id="95173085">
      <w:bodyDiv w:val="1"/>
      <w:marLeft w:val="0"/>
      <w:marRight w:val="0"/>
      <w:marTop w:val="0"/>
      <w:marBottom w:val="0"/>
      <w:divBdr>
        <w:top w:val="none" w:sz="0" w:space="0" w:color="auto"/>
        <w:left w:val="none" w:sz="0" w:space="0" w:color="auto"/>
        <w:bottom w:val="none" w:sz="0" w:space="0" w:color="auto"/>
        <w:right w:val="none" w:sz="0" w:space="0" w:color="auto"/>
      </w:divBdr>
    </w:div>
    <w:div w:id="175926841">
      <w:bodyDiv w:val="1"/>
      <w:marLeft w:val="0"/>
      <w:marRight w:val="0"/>
      <w:marTop w:val="0"/>
      <w:marBottom w:val="0"/>
      <w:divBdr>
        <w:top w:val="none" w:sz="0" w:space="0" w:color="auto"/>
        <w:left w:val="none" w:sz="0" w:space="0" w:color="auto"/>
        <w:bottom w:val="none" w:sz="0" w:space="0" w:color="auto"/>
        <w:right w:val="none" w:sz="0" w:space="0" w:color="auto"/>
      </w:divBdr>
    </w:div>
    <w:div w:id="195776884">
      <w:bodyDiv w:val="1"/>
      <w:marLeft w:val="0"/>
      <w:marRight w:val="0"/>
      <w:marTop w:val="0"/>
      <w:marBottom w:val="0"/>
      <w:divBdr>
        <w:top w:val="none" w:sz="0" w:space="0" w:color="auto"/>
        <w:left w:val="none" w:sz="0" w:space="0" w:color="auto"/>
        <w:bottom w:val="none" w:sz="0" w:space="0" w:color="auto"/>
        <w:right w:val="none" w:sz="0" w:space="0" w:color="auto"/>
      </w:divBdr>
    </w:div>
    <w:div w:id="246110188">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354431662">
      <w:bodyDiv w:val="1"/>
      <w:marLeft w:val="0"/>
      <w:marRight w:val="0"/>
      <w:marTop w:val="0"/>
      <w:marBottom w:val="0"/>
      <w:divBdr>
        <w:top w:val="none" w:sz="0" w:space="0" w:color="auto"/>
        <w:left w:val="none" w:sz="0" w:space="0" w:color="auto"/>
        <w:bottom w:val="none" w:sz="0" w:space="0" w:color="auto"/>
        <w:right w:val="none" w:sz="0" w:space="0" w:color="auto"/>
      </w:divBdr>
    </w:div>
    <w:div w:id="385036169">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24150071">
      <w:bodyDiv w:val="1"/>
      <w:marLeft w:val="0"/>
      <w:marRight w:val="0"/>
      <w:marTop w:val="0"/>
      <w:marBottom w:val="0"/>
      <w:divBdr>
        <w:top w:val="none" w:sz="0" w:space="0" w:color="auto"/>
        <w:left w:val="none" w:sz="0" w:space="0" w:color="auto"/>
        <w:bottom w:val="none" w:sz="0" w:space="0" w:color="auto"/>
        <w:right w:val="none" w:sz="0" w:space="0" w:color="auto"/>
      </w:divBdr>
    </w:div>
    <w:div w:id="425541652">
      <w:bodyDiv w:val="1"/>
      <w:marLeft w:val="0"/>
      <w:marRight w:val="0"/>
      <w:marTop w:val="0"/>
      <w:marBottom w:val="0"/>
      <w:divBdr>
        <w:top w:val="none" w:sz="0" w:space="0" w:color="auto"/>
        <w:left w:val="none" w:sz="0" w:space="0" w:color="auto"/>
        <w:bottom w:val="none" w:sz="0" w:space="0" w:color="auto"/>
        <w:right w:val="none" w:sz="0" w:space="0" w:color="auto"/>
      </w:divBdr>
    </w:div>
    <w:div w:id="449514782">
      <w:bodyDiv w:val="1"/>
      <w:marLeft w:val="0"/>
      <w:marRight w:val="0"/>
      <w:marTop w:val="0"/>
      <w:marBottom w:val="0"/>
      <w:divBdr>
        <w:top w:val="none" w:sz="0" w:space="0" w:color="auto"/>
        <w:left w:val="none" w:sz="0" w:space="0" w:color="auto"/>
        <w:bottom w:val="none" w:sz="0" w:space="0" w:color="auto"/>
        <w:right w:val="none" w:sz="0" w:space="0" w:color="auto"/>
      </w:divBdr>
    </w:div>
    <w:div w:id="470446520">
      <w:bodyDiv w:val="1"/>
      <w:marLeft w:val="0"/>
      <w:marRight w:val="0"/>
      <w:marTop w:val="0"/>
      <w:marBottom w:val="0"/>
      <w:divBdr>
        <w:top w:val="none" w:sz="0" w:space="0" w:color="auto"/>
        <w:left w:val="none" w:sz="0" w:space="0" w:color="auto"/>
        <w:bottom w:val="none" w:sz="0" w:space="0" w:color="auto"/>
        <w:right w:val="none" w:sz="0" w:space="0" w:color="auto"/>
      </w:divBdr>
    </w:div>
    <w:div w:id="492111871">
      <w:bodyDiv w:val="1"/>
      <w:marLeft w:val="0"/>
      <w:marRight w:val="0"/>
      <w:marTop w:val="0"/>
      <w:marBottom w:val="0"/>
      <w:divBdr>
        <w:top w:val="none" w:sz="0" w:space="0" w:color="auto"/>
        <w:left w:val="none" w:sz="0" w:space="0" w:color="auto"/>
        <w:bottom w:val="none" w:sz="0" w:space="0" w:color="auto"/>
        <w:right w:val="none" w:sz="0" w:space="0" w:color="auto"/>
      </w:divBdr>
    </w:div>
    <w:div w:id="494763252">
      <w:bodyDiv w:val="1"/>
      <w:marLeft w:val="0"/>
      <w:marRight w:val="0"/>
      <w:marTop w:val="0"/>
      <w:marBottom w:val="0"/>
      <w:divBdr>
        <w:top w:val="none" w:sz="0" w:space="0" w:color="auto"/>
        <w:left w:val="none" w:sz="0" w:space="0" w:color="auto"/>
        <w:bottom w:val="none" w:sz="0" w:space="0" w:color="auto"/>
        <w:right w:val="none" w:sz="0" w:space="0" w:color="auto"/>
      </w:divBdr>
    </w:div>
    <w:div w:id="495535507">
      <w:bodyDiv w:val="1"/>
      <w:marLeft w:val="0"/>
      <w:marRight w:val="0"/>
      <w:marTop w:val="0"/>
      <w:marBottom w:val="0"/>
      <w:divBdr>
        <w:top w:val="none" w:sz="0" w:space="0" w:color="auto"/>
        <w:left w:val="none" w:sz="0" w:space="0" w:color="auto"/>
        <w:bottom w:val="none" w:sz="0" w:space="0" w:color="auto"/>
        <w:right w:val="none" w:sz="0" w:space="0" w:color="auto"/>
      </w:divBdr>
    </w:div>
    <w:div w:id="495998830">
      <w:bodyDiv w:val="1"/>
      <w:marLeft w:val="0"/>
      <w:marRight w:val="0"/>
      <w:marTop w:val="0"/>
      <w:marBottom w:val="0"/>
      <w:divBdr>
        <w:top w:val="none" w:sz="0" w:space="0" w:color="auto"/>
        <w:left w:val="none" w:sz="0" w:space="0" w:color="auto"/>
        <w:bottom w:val="none" w:sz="0" w:space="0" w:color="auto"/>
        <w:right w:val="none" w:sz="0" w:space="0" w:color="auto"/>
      </w:divBdr>
    </w:div>
    <w:div w:id="526061978">
      <w:bodyDiv w:val="1"/>
      <w:marLeft w:val="0"/>
      <w:marRight w:val="0"/>
      <w:marTop w:val="0"/>
      <w:marBottom w:val="0"/>
      <w:divBdr>
        <w:top w:val="none" w:sz="0" w:space="0" w:color="auto"/>
        <w:left w:val="none" w:sz="0" w:space="0" w:color="auto"/>
        <w:bottom w:val="none" w:sz="0" w:space="0" w:color="auto"/>
        <w:right w:val="none" w:sz="0" w:space="0" w:color="auto"/>
      </w:divBdr>
    </w:div>
    <w:div w:id="546063977">
      <w:bodyDiv w:val="1"/>
      <w:marLeft w:val="0"/>
      <w:marRight w:val="0"/>
      <w:marTop w:val="0"/>
      <w:marBottom w:val="0"/>
      <w:divBdr>
        <w:top w:val="none" w:sz="0" w:space="0" w:color="auto"/>
        <w:left w:val="none" w:sz="0" w:space="0" w:color="auto"/>
        <w:bottom w:val="none" w:sz="0" w:space="0" w:color="auto"/>
        <w:right w:val="none" w:sz="0" w:space="0" w:color="auto"/>
      </w:divBdr>
    </w:div>
    <w:div w:id="575165019">
      <w:bodyDiv w:val="1"/>
      <w:marLeft w:val="0"/>
      <w:marRight w:val="0"/>
      <w:marTop w:val="0"/>
      <w:marBottom w:val="0"/>
      <w:divBdr>
        <w:top w:val="none" w:sz="0" w:space="0" w:color="auto"/>
        <w:left w:val="none" w:sz="0" w:space="0" w:color="auto"/>
        <w:bottom w:val="none" w:sz="0" w:space="0" w:color="auto"/>
        <w:right w:val="none" w:sz="0" w:space="0" w:color="auto"/>
      </w:divBdr>
    </w:div>
    <w:div w:id="619457024">
      <w:bodyDiv w:val="1"/>
      <w:marLeft w:val="0"/>
      <w:marRight w:val="0"/>
      <w:marTop w:val="0"/>
      <w:marBottom w:val="0"/>
      <w:divBdr>
        <w:top w:val="none" w:sz="0" w:space="0" w:color="auto"/>
        <w:left w:val="none" w:sz="0" w:space="0" w:color="auto"/>
        <w:bottom w:val="none" w:sz="0" w:space="0" w:color="auto"/>
        <w:right w:val="none" w:sz="0" w:space="0" w:color="auto"/>
      </w:divBdr>
    </w:div>
    <w:div w:id="660042021">
      <w:bodyDiv w:val="1"/>
      <w:marLeft w:val="0"/>
      <w:marRight w:val="0"/>
      <w:marTop w:val="0"/>
      <w:marBottom w:val="0"/>
      <w:divBdr>
        <w:top w:val="none" w:sz="0" w:space="0" w:color="auto"/>
        <w:left w:val="none" w:sz="0" w:space="0" w:color="auto"/>
        <w:bottom w:val="none" w:sz="0" w:space="0" w:color="auto"/>
        <w:right w:val="none" w:sz="0" w:space="0" w:color="auto"/>
      </w:divBdr>
    </w:div>
    <w:div w:id="669143235">
      <w:bodyDiv w:val="1"/>
      <w:marLeft w:val="0"/>
      <w:marRight w:val="0"/>
      <w:marTop w:val="0"/>
      <w:marBottom w:val="0"/>
      <w:divBdr>
        <w:top w:val="none" w:sz="0" w:space="0" w:color="auto"/>
        <w:left w:val="none" w:sz="0" w:space="0" w:color="auto"/>
        <w:bottom w:val="none" w:sz="0" w:space="0" w:color="auto"/>
        <w:right w:val="none" w:sz="0" w:space="0" w:color="auto"/>
      </w:divBdr>
    </w:div>
    <w:div w:id="752967126">
      <w:bodyDiv w:val="1"/>
      <w:marLeft w:val="0"/>
      <w:marRight w:val="0"/>
      <w:marTop w:val="0"/>
      <w:marBottom w:val="0"/>
      <w:divBdr>
        <w:top w:val="none" w:sz="0" w:space="0" w:color="auto"/>
        <w:left w:val="none" w:sz="0" w:space="0" w:color="auto"/>
        <w:bottom w:val="none" w:sz="0" w:space="0" w:color="auto"/>
        <w:right w:val="none" w:sz="0" w:space="0" w:color="auto"/>
      </w:divBdr>
    </w:div>
    <w:div w:id="753939996">
      <w:bodyDiv w:val="1"/>
      <w:marLeft w:val="0"/>
      <w:marRight w:val="0"/>
      <w:marTop w:val="0"/>
      <w:marBottom w:val="0"/>
      <w:divBdr>
        <w:top w:val="none" w:sz="0" w:space="0" w:color="auto"/>
        <w:left w:val="none" w:sz="0" w:space="0" w:color="auto"/>
        <w:bottom w:val="none" w:sz="0" w:space="0" w:color="auto"/>
        <w:right w:val="none" w:sz="0" w:space="0" w:color="auto"/>
      </w:divBdr>
    </w:div>
    <w:div w:id="764226678">
      <w:bodyDiv w:val="1"/>
      <w:marLeft w:val="0"/>
      <w:marRight w:val="0"/>
      <w:marTop w:val="0"/>
      <w:marBottom w:val="0"/>
      <w:divBdr>
        <w:top w:val="none" w:sz="0" w:space="0" w:color="auto"/>
        <w:left w:val="none" w:sz="0" w:space="0" w:color="auto"/>
        <w:bottom w:val="none" w:sz="0" w:space="0" w:color="auto"/>
        <w:right w:val="none" w:sz="0" w:space="0" w:color="auto"/>
      </w:divBdr>
    </w:div>
    <w:div w:id="842208338">
      <w:bodyDiv w:val="1"/>
      <w:marLeft w:val="0"/>
      <w:marRight w:val="0"/>
      <w:marTop w:val="0"/>
      <w:marBottom w:val="0"/>
      <w:divBdr>
        <w:top w:val="none" w:sz="0" w:space="0" w:color="auto"/>
        <w:left w:val="none" w:sz="0" w:space="0" w:color="auto"/>
        <w:bottom w:val="none" w:sz="0" w:space="0" w:color="auto"/>
        <w:right w:val="none" w:sz="0" w:space="0" w:color="auto"/>
      </w:divBdr>
    </w:div>
    <w:div w:id="900755829">
      <w:bodyDiv w:val="1"/>
      <w:marLeft w:val="0"/>
      <w:marRight w:val="0"/>
      <w:marTop w:val="0"/>
      <w:marBottom w:val="0"/>
      <w:divBdr>
        <w:top w:val="none" w:sz="0" w:space="0" w:color="auto"/>
        <w:left w:val="none" w:sz="0" w:space="0" w:color="auto"/>
        <w:bottom w:val="none" w:sz="0" w:space="0" w:color="auto"/>
        <w:right w:val="none" w:sz="0" w:space="0" w:color="auto"/>
      </w:divBdr>
    </w:div>
    <w:div w:id="926309410">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6600042">
      <w:bodyDiv w:val="1"/>
      <w:marLeft w:val="0"/>
      <w:marRight w:val="0"/>
      <w:marTop w:val="0"/>
      <w:marBottom w:val="0"/>
      <w:divBdr>
        <w:top w:val="none" w:sz="0" w:space="0" w:color="auto"/>
        <w:left w:val="none" w:sz="0" w:space="0" w:color="auto"/>
        <w:bottom w:val="none" w:sz="0" w:space="0" w:color="auto"/>
        <w:right w:val="none" w:sz="0" w:space="0" w:color="auto"/>
      </w:divBdr>
    </w:div>
    <w:div w:id="972321921">
      <w:bodyDiv w:val="1"/>
      <w:marLeft w:val="0"/>
      <w:marRight w:val="0"/>
      <w:marTop w:val="0"/>
      <w:marBottom w:val="0"/>
      <w:divBdr>
        <w:top w:val="none" w:sz="0" w:space="0" w:color="auto"/>
        <w:left w:val="none" w:sz="0" w:space="0" w:color="auto"/>
        <w:bottom w:val="none" w:sz="0" w:space="0" w:color="auto"/>
        <w:right w:val="none" w:sz="0" w:space="0" w:color="auto"/>
      </w:divBdr>
    </w:div>
    <w:div w:id="995651834">
      <w:bodyDiv w:val="1"/>
      <w:marLeft w:val="0"/>
      <w:marRight w:val="0"/>
      <w:marTop w:val="0"/>
      <w:marBottom w:val="0"/>
      <w:divBdr>
        <w:top w:val="none" w:sz="0" w:space="0" w:color="auto"/>
        <w:left w:val="none" w:sz="0" w:space="0" w:color="auto"/>
        <w:bottom w:val="none" w:sz="0" w:space="0" w:color="auto"/>
        <w:right w:val="none" w:sz="0" w:space="0" w:color="auto"/>
      </w:divBdr>
    </w:div>
    <w:div w:id="1010177851">
      <w:bodyDiv w:val="1"/>
      <w:marLeft w:val="0"/>
      <w:marRight w:val="0"/>
      <w:marTop w:val="0"/>
      <w:marBottom w:val="0"/>
      <w:divBdr>
        <w:top w:val="none" w:sz="0" w:space="0" w:color="auto"/>
        <w:left w:val="none" w:sz="0" w:space="0" w:color="auto"/>
        <w:bottom w:val="none" w:sz="0" w:space="0" w:color="auto"/>
        <w:right w:val="none" w:sz="0" w:space="0" w:color="auto"/>
      </w:divBdr>
    </w:div>
    <w:div w:id="1086339653">
      <w:bodyDiv w:val="1"/>
      <w:marLeft w:val="0"/>
      <w:marRight w:val="0"/>
      <w:marTop w:val="0"/>
      <w:marBottom w:val="0"/>
      <w:divBdr>
        <w:top w:val="none" w:sz="0" w:space="0" w:color="auto"/>
        <w:left w:val="none" w:sz="0" w:space="0" w:color="auto"/>
        <w:bottom w:val="none" w:sz="0" w:space="0" w:color="auto"/>
        <w:right w:val="none" w:sz="0" w:space="0" w:color="auto"/>
      </w:divBdr>
    </w:div>
    <w:div w:id="1094518581">
      <w:bodyDiv w:val="1"/>
      <w:marLeft w:val="0"/>
      <w:marRight w:val="0"/>
      <w:marTop w:val="0"/>
      <w:marBottom w:val="0"/>
      <w:divBdr>
        <w:top w:val="none" w:sz="0" w:space="0" w:color="auto"/>
        <w:left w:val="none" w:sz="0" w:space="0" w:color="auto"/>
        <w:bottom w:val="none" w:sz="0" w:space="0" w:color="auto"/>
        <w:right w:val="none" w:sz="0" w:space="0" w:color="auto"/>
      </w:divBdr>
    </w:div>
    <w:div w:id="1099332635">
      <w:bodyDiv w:val="1"/>
      <w:marLeft w:val="0"/>
      <w:marRight w:val="0"/>
      <w:marTop w:val="0"/>
      <w:marBottom w:val="0"/>
      <w:divBdr>
        <w:top w:val="none" w:sz="0" w:space="0" w:color="auto"/>
        <w:left w:val="none" w:sz="0" w:space="0" w:color="auto"/>
        <w:bottom w:val="none" w:sz="0" w:space="0" w:color="auto"/>
        <w:right w:val="none" w:sz="0" w:space="0" w:color="auto"/>
      </w:divBdr>
    </w:div>
    <w:div w:id="1141650361">
      <w:bodyDiv w:val="1"/>
      <w:marLeft w:val="0"/>
      <w:marRight w:val="0"/>
      <w:marTop w:val="0"/>
      <w:marBottom w:val="0"/>
      <w:divBdr>
        <w:top w:val="none" w:sz="0" w:space="0" w:color="auto"/>
        <w:left w:val="none" w:sz="0" w:space="0" w:color="auto"/>
        <w:bottom w:val="none" w:sz="0" w:space="0" w:color="auto"/>
        <w:right w:val="none" w:sz="0" w:space="0" w:color="auto"/>
      </w:divBdr>
    </w:div>
    <w:div w:id="1153453707">
      <w:bodyDiv w:val="1"/>
      <w:marLeft w:val="0"/>
      <w:marRight w:val="0"/>
      <w:marTop w:val="0"/>
      <w:marBottom w:val="0"/>
      <w:divBdr>
        <w:top w:val="none" w:sz="0" w:space="0" w:color="auto"/>
        <w:left w:val="none" w:sz="0" w:space="0" w:color="auto"/>
        <w:bottom w:val="none" w:sz="0" w:space="0" w:color="auto"/>
        <w:right w:val="none" w:sz="0" w:space="0" w:color="auto"/>
      </w:divBdr>
    </w:div>
    <w:div w:id="1157957876">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190220106">
      <w:bodyDiv w:val="1"/>
      <w:marLeft w:val="0"/>
      <w:marRight w:val="0"/>
      <w:marTop w:val="0"/>
      <w:marBottom w:val="0"/>
      <w:divBdr>
        <w:top w:val="none" w:sz="0" w:space="0" w:color="auto"/>
        <w:left w:val="none" w:sz="0" w:space="0" w:color="auto"/>
        <w:bottom w:val="none" w:sz="0" w:space="0" w:color="auto"/>
        <w:right w:val="none" w:sz="0" w:space="0" w:color="auto"/>
      </w:divBdr>
    </w:div>
    <w:div w:id="1195849380">
      <w:bodyDiv w:val="1"/>
      <w:marLeft w:val="0"/>
      <w:marRight w:val="0"/>
      <w:marTop w:val="0"/>
      <w:marBottom w:val="0"/>
      <w:divBdr>
        <w:top w:val="none" w:sz="0" w:space="0" w:color="auto"/>
        <w:left w:val="none" w:sz="0" w:space="0" w:color="auto"/>
        <w:bottom w:val="none" w:sz="0" w:space="0" w:color="auto"/>
        <w:right w:val="none" w:sz="0" w:space="0" w:color="auto"/>
      </w:divBdr>
    </w:div>
    <w:div w:id="1255212279">
      <w:bodyDiv w:val="1"/>
      <w:marLeft w:val="0"/>
      <w:marRight w:val="0"/>
      <w:marTop w:val="0"/>
      <w:marBottom w:val="0"/>
      <w:divBdr>
        <w:top w:val="none" w:sz="0" w:space="0" w:color="auto"/>
        <w:left w:val="none" w:sz="0" w:space="0" w:color="auto"/>
        <w:bottom w:val="none" w:sz="0" w:space="0" w:color="auto"/>
        <w:right w:val="none" w:sz="0" w:space="0" w:color="auto"/>
      </w:divBdr>
    </w:div>
    <w:div w:id="1298802683">
      <w:bodyDiv w:val="1"/>
      <w:marLeft w:val="0"/>
      <w:marRight w:val="0"/>
      <w:marTop w:val="0"/>
      <w:marBottom w:val="0"/>
      <w:divBdr>
        <w:top w:val="none" w:sz="0" w:space="0" w:color="auto"/>
        <w:left w:val="none" w:sz="0" w:space="0" w:color="auto"/>
        <w:bottom w:val="none" w:sz="0" w:space="0" w:color="auto"/>
        <w:right w:val="none" w:sz="0" w:space="0" w:color="auto"/>
      </w:divBdr>
    </w:div>
    <w:div w:id="1367022223">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386635075">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32840826">
      <w:bodyDiv w:val="1"/>
      <w:marLeft w:val="0"/>
      <w:marRight w:val="0"/>
      <w:marTop w:val="0"/>
      <w:marBottom w:val="0"/>
      <w:divBdr>
        <w:top w:val="none" w:sz="0" w:space="0" w:color="auto"/>
        <w:left w:val="none" w:sz="0" w:space="0" w:color="auto"/>
        <w:bottom w:val="none" w:sz="0" w:space="0" w:color="auto"/>
        <w:right w:val="none" w:sz="0" w:space="0" w:color="auto"/>
      </w:divBdr>
    </w:div>
    <w:div w:id="1537624617">
      <w:bodyDiv w:val="1"/>
      <w:marLeft w:val="0"/>
      <w:marRight w:val="0"/>
      <w:marTop w:val="0"/>
      <w:marBottom w:val="0"/>
      <w:divBdr>
        <w:top w:val="none" w:sz="0" w:space="0" w:color="auto"/>
        <w:left w:val="none" w:sz="0" w:space="0" w:color="auto"/>
        <w:bottom w:val="none" w:sz="0" w:space="0" w:color="auto"/>
        <w:right w:val="none" w:sz="0" w:space="0" w:color="auto"/>
      </w:divBdr>
    </w:div>
    <w:div w:id="1614315018">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62150445">
      <w:bodyDiv w:val="1"/>
      <w:marLeft w:val="0"/>
      <w:marRight w:val="0"/>
      <w:marTop w:val="0"/>
      <w:marBottom w:val="0"/>
      <w:divBdr>
        <w:top w:val="none" w:sz="0" w:space="0" w:color="auto"/>
        <w:left w:val="none" w:sz="0" w:space="0" w:color="auto"/>
        <w:bottom w:val="none" w:sz="0" w:space="0" w:color="auto"/>
        <w:right w:val="none" w:sz="0" w:space="0" w:color="auto"/>
      </w:divBdr>
    </w:div>
    <w:div w:id="1755123912">
      <w:bodyDiv w:val="1"/>
      <w:marLeft w:val="0"/>
      <w:marRight w:val="0"/>
      <w:marTop w:val="0"/>
      <w:marBottom w:val="0"/>
      <w:divBdr>
        <w:top w:val="none" w:sz="0" w:space="0" w:color="auto"/>
        <w:left w:val="none" w:sz="0" w:space="0" w:color="auto"/>
        <w:bottom w:val="none" w:sz="0" w:space="0" w:color="auto"/>
        <w:right w:val="none" w:sz="0" w:space="0" w:color="auto"/>
      </w:divBdr>
    </w:div>
    <w:div w:id="1780222438">
      <w:bodyDiv w:val="1"/>
      <w:marLeft w:val="0"/>
      <w:marRight w:val="0"/>
      <w:marTop w:val="0"/>
      <w:marBottom w:val="0"/>
      <w:divBdr>
        <w:top w:val="none" w:sz="0" w:space="0" w:color="auto"/>
        <w:left w:val="none" w:sz="0" w:space="0" w:color="auto"/>
        <w:bottom w:val="none" w:sz="0" w:space="0" w:color="auto"/>
        <w:right w:val="none" w:sz="0" w:space="0" w:color="auto"/>
      </w:divBdr>
    </w:div>
    <w:div w:id="1787115804">
      <w:bodyDiv w:val="1"/>
      <w:marLeft w:val="0"/>
      <w:marRight w:val="0"/>
      <w:marTop w:val="0"/>
      <w:marBottom w:val="0"/>
      <w:divBdr>
        <w:top w:val="none" w:sz="0" w:space="0" w:color="auto"/>
        <w:left w:val="none" w:sz="0" w:space="0" w:color="auto"/>
        <w:bottom w:val="none" w:sz="0" w:space="0" w:color="auto"/>
        <w:right w:val="none" w:sz="0" w:space="0" w:color="auto"/>
      </w:divBdr>
    </w:div>
    <w:div w:id="1812595047">
      <w:bodyDiv w:val="1"/>
      <w:marLeft w:val="0"/>
      <w:marRight w:val="0"/>
      <w:marTop w:val="0"/>
      <w:marBottom w:val="0"/>
      <w:divBdr>
        <w:top w:val="none" w:sz="0" w:space="0" w:color="auto"/>
        <w:left w:val="none" w:sz="0" w:space="0" w:color="auto"/>
        <w:bottom w:val="none" w:sz="0" w:space="0" w:color="auto"/>
        <w:right w:val="none" w:sz="0" w:space="0" w:color="auto"/>
      </w:divBdr>
    </w:div>
    <w:div w:id="1821001128">
      <w:bodyDiv w:val="1"/>
      <w:marLeft w:val="0"/>
      <w:marRight w:val="0"/>
      <w:marTop w:val="0"/>
      <w:marBottom w:val="0"/>
      <w:divBdr>
        <w:top w:val="none" w:sz="0" w:space="0" w:color="auto"/>
        <w:left w:val="none" w:sz="0" w:space="0" w:color="auto"/>
        <w:bottom w:val="none" w:sz="0" w:space="0" w:color="auto"/>
        <w:right w:val="none" w:sz="0" w:space="0" w:color="auto"/>
      </w:divBdr>
    </w:div>
    <w:div w:id="1823307774">
      <w:bodyDiv w:val="1"/>
      <w:marLeft w:val="0"/>
      <w:marRight w:val="0"/>
      <w:marTop w:val="0"/>
      <w:marBottom w:val="0"/>
      <w:divBdr>
        <w:top w:val="none" w:sz="0" w:space="0" w:color="auto"/>
        <w:left w:val="none" w:sz="0" w:space="0" w:color="auto"/>
        <w:bottom w:val="none" w:sz="0" w:space="0" w:color="auto"/>
        <w:right w:val="none" w:sz="0" w:space="0" w:color="auto"/>
      </w:divBdr>
    </w:div>
    <w:div w:id="1841921404">
      <w:bodyDiv w:val="1"/>
      <w:marLeft w:val="0"/>
      <w:marRight w:val="0"/>
      <w:marTop w:val="0"/>
      <w:marBottom w:val="0"/>
      <w:divBdr>
        <w:top w:val="none" w:sz="0" w:space="0" w:color="auto"/>
        <w:left w:val="none" w:sz="0" w:space="0" w:color="auto"/>
        <w:bottom w:val="none" w:sz="0" w:space="0" w:color="auto"/>
        <w:right w:val="none" w:sz="0" w:space="0" w:color="auto"/>
      </w:divBdr>
    </w:div>
    <w:div w:id="1873614901">
      <w:bodyDiv w:val="1"/>
      <w:marLeft w:val="0"/>
      <w:marRight w:val="0"/>
      <w:marTop w:val="0"/>
      <w:marBottom w:val="0"/>
      <w:divBdr>
        <w:top w:val="none" w:sz="0" w:space="0" w:color="auto"/>
        <w:left w:val="none" w:sz="0" w:space="0" w:color="auto"/>
        <w:bottom w:val="none" w:sz="0" w:space="0" w:color="auto"/>
        <w:right w:val="none" w:sz="0" w:space="0" w:color="auto"/>
      </w:divBdr>
    </w:div>
    <w:div w:id="1873884488">
      <w:bodyDiv w:val="1"/>
      <w:marLeft w:val="0"/>
      <w:marRight w:val="0"/>
      <w:marTop w:val="0"/>
      <w:marBottom w:val="0"/>
      <w:divBdr>
        <w:top w:val="none" w:sz="0" w:space="0" w:color="auto"/>
        <w:left w:val="none" w:sz="0" w:space="0" w:color="auto"/>
        <w:bottom w:val="none" w:sz="0" w:space="0" w:color="auto"/>
        <w:right w:val="none" w:sz="0" w:space="0" w:color="auto"/>
      </w:divBdr>
    </w:div>
    <w:div w:id="1891530831">
      <w:bodyDiv w:val="1"/>
      <w:marLeft w:val="0"/>
      <w:marRight w:val="0"/>
      <w:marTop w:val="0"/>
      <w:marBottom w:val="0"/>
      <w:divBdr>
        <w:top w:val="none" w:sz="0" w:space="0" w:color="auto"/>
        <w:left w:val="none" w:sz="0" w:space="0" w:color="auto"/>
        <w:bottom w:val="none" w:sz="0" w:space="0" w:color="auto"/>
        <w:right w:val="none" w:sz="0" w:space="0" w:color="auto"/>
      </w:divBdr>
    </w:div>
    <w:div w:id="1900243736">
      <w:bodyDiv w:val="1"/>
      <w:marLeft w:val="0"/>
      <w:marRight w:val="0"/>
      <w:marTop w:val="0"/>
      <w:marBottom w:val="0"/>
      <w:divBdr>
        <w:top w:val="none" w:sz="0" w:space="0" w:color="auto"/>
        <w:left w:val="none" w:sz="0" w:space="0" w:color="auto"/>
        <w:bottom w:val="none" w:sz="0" w:space="0" w:color="auto"/>
        <w:right w:val="none" w:sz="0" w:space="0" w:color="auto"/>
      </w:divBdr>
    </w:div>
    <w:div w:id="1927615949">
      <w:bodyDiv w:val="1"/>
      <w:marLeft w:val="0"/>
      <w:marRight w:val="0"/>
      <w:marTop w:val="0"/>
      <w:marBottom w:val="0"/>
      <w:divBdr>
        <w:top w:val="none" w:sz="0" w:space="0" w:color="auto"/>
        <w:left w:val="none" w:sz="0" w:space="0" w:color="auto"/>
        <w:bottom w:val="none" w:sz="0" w:space="0" w:color="auto"/>
        <w:right w:val="none" w:sz="0" w:space="0" w:color="auto"/>
      </w:divBdr>
    </w:div>
    <w:div w:id="1953315932">
      <w:bodyDiv w:val="1"/>
      <w:marLeft w:val="0"/>
      <w:marRight w:val="0"/>
      <w:marTop w:val="0"/>
      <w:marBottom w:val="0"/>
      <w:divBdr>
        <w:top w:val="none" w:sz="0" w:space="0" w:color="auto"/>
        <w:left w:val="none" w:sz="0" w:space="0" w:color="auto"/>
        <w:bottom w:val="none" w:sz="0" w:space="0" w:color="auto"/>
        <w:right w:val="none" w:sz="0" w:space="0" w:color="auto"/>
      </w:divBdr>
    </w:div>
    <w:div w:id="1996911267">
      <w:bodyDiv w:val="1"/>
      <w:marLeft w:val="0"/>
      <w:marRight w:val="0"/>
      <w:marTop w:val="0"/>
      <w:marBottom w:val="0"/>
      <w:divBdr>
        <w:top w:val="none" w:sz="0" w:space="0" w:color="auto"/>
        <w:left w:val="none" w:sz="0" w:space="0" w:color="auto"/>
        <w:bottom w:val="none" w:sz="0" w:space="0" w:color="auto"/>
        <w:right w:val="none" w:sz="0" w:space="0" w:color="auto"/>
      </w:divBdr>
    </w:div>
    <w:div w:id="2029485736">
      <w:bodyDiv w:val="1"/>
      <w:marLeft w:val="0"/>
      <w:marRight w:val="0"/>
      <w:marTop w:val="0"/>
      <w:marBottom w:val="0"/>
      <w:divBdr>
        <w:top w:val="none" w:sz="0" w:space="0" w:color="auto"/>
        <w:left w:val="none" w:sz="0" w:space="0" w:color="auto"/>
        <w:bottom w:val="none" w:sz="0" w:space="0" w:color="auto"/>
        <w:right w:val="none" w:sz="0" w:space="0" w:color="auto"/>
      </w:divBdr>
    </w:div>
    <w:div w:id="2054621404">
      <w:bodyDiv w:val="1"/>
      <w:marLeft w:val="0"/>
      <w:marRight w:val="0"/>
      <w:marTop w:val="0"/>
      <w:marBottom w:val="0"/>
      <w:divBdr>
        <w:top w:val="none" w:sz="0" w:space="0" w:color="auto"/>
        <w:left w:val="none" w:sz="0" w:space="0" w:color="auto"/>
        <w:bottom w:val="none" w:sz="0" w:space="0" w:color="auto"/>
        <w:right w:val="none" w:sz="0" w:space="0" w:color="auto"/>
      </w:divBdr>
    </w:div>
    <w:div w:id="2093894126">
      <w:bodyDiv w:val="1"/>
      <w:marLeft w:val="0"/>
      <w:marRight w:val="0"/>
      <w:marTop w:val="0"/>
      <w:marBottom w:val="0"/>
      <w:divBdr>
        <w:top w:val="none" w:sz="0" w:space="0" w:color="auto"/>
        <w:left w:val="none" w:sz="0" w:space="0" w:color="auto"/>
        <w:bottom w:val="none" w:sz="0" w:space="0" w:color="auto"/>
        <w:right w:val="none" w:sz="0" w:space="0" w:color="auto"/>
      </w:divBdr>
    </w:div>
    <w:div w:id="2119637793">
      <w:bodyDiv w:val="1"/>
      <w:marLeft w:val="0"/>
      <w:marRight w:val="0"/>
      <w:marTop w:val="0"/>
      <w:marBottom w:val="0"/>
      <w:divBdr>
        <w:top w:val="none" w:sz="0" w:space="0" w:color="auto"/>
        <w:left w:val="none" w:sz="0" w:space="0" w:color="auto"/>
        <w:bottom w:val="none" w:sz="0" w:space="0" w:color="auto"/>
        <w:right w:val="none" w:sz="0" w:space="0" w:color="auto"/>
      </w:divBdr>
    </w:div>
    <w:div w:id="2121023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atatracker.ietf.org/doc/html/draft-wilson-class-e-02"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4.png"/><Relationship Id="rId11" Type="http://schemas.openxmlformats.org/officeDocument/2006/relationships/hyperlink" Target="https://www.iana.org/assignments/iana-ipv4-special-registry/iana-ipv4-special-registry.xhtml"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image" Target="media/image36.png"/><Relationship Id="rId58" Type="http://schemas.openxmlformats.org/officeDocument/2006/relationships/hyperlink" Target="http://www.potaroo.net"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s://datatracker.ietf.org/doc/html/draft-fuller-240space-02"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auctions.ipv4.global/prior-sales" TargetMode="External"/><Relationship Id="rId35" Type="http://schemas.openxmlformats.org/officeDocument/2006/relationships/image" Target="media/image19.emf"/><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hyperlink" Target="https://help.apnic.net/s/article/Using-address-space" TargetMode="External"/><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yperlink" Target="https://www.iana.org/assignments/ipv4-address-space/ipv4-address-space.xhtml" TargetMode="Externa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footer" Target="footer1.xml"/><Relationship Id="rId20" Type="http://schemas.openxmlformats.org/officeDocument/2006/relationships/image" Target="media/image6.emf"/><Relationship Id="rId41" Type="http://schemas.openxmlformats.org/officeDocument/2006/relationships/image" Target="media/image24.emf"/><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taroo.net/ispcol/2024-09/2404.html" TargetMode="External"/><Relationship Id="rId23" Type="http://schemas.openxmlformats.org/officeDocument/2006/relationships/image" Target="media/image9.png"/><Relationship Id="rId28" Type="http://schemas.openxmlformats.org/officeDocument/2006/relationships/hyperlink" Target="https://auctions.ipv4.global/prior-sales" TargetMode="External"/><Relationship Id="rId36" Type="http://schemas.openxmlformats.org/officeDocument/2006/relationships/hyperlink" Target="https://www.maxmind.com/en/home" TargetMode="Externa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www.iana.org/assignments/ipv4-recovered-address-space/ipv4-recovered-address-space.xhtml" TargetMode="External"/><Relationship Id="rId31" Type="http://schemas.openxmlformats.org/officeDocument/2006/relationships/image" Target="media/image15.png"/><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2F19E-CA11-6F4E-91AD-351A9236A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8828</Words>
  <Characters>50322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APNIC</Company>
  <LinksUpToDate>false</LinksUpToDate>
  <CharactersWithSpaces>59032</CharactersWithSpaces>
  <SharedDoc>false</SharedDoc>
  <HLinks>
    <vt:vector size="48" baseType="variant">
      <vt:variant>
        <vt:i4>5832813</vt:i4>
      </vt:variant>
      <vt:variant>
        <vt:i4>21</vt:i4>
      </vt:variant>
      <vt:variant>
        <vt:i4>0</vt:i4>
      </vt:variant>
      <vt:variant>
        <vt:i4>5</vt:i4>
      </vt:variant>
      <vt:variant>
        <vt:lpwstr>http://labs.apnic.net</vt:lpwstr>
      </vt:variant>
      <vt:variant>
        <vt:lpwstr/>
      </vt:variant>
      <vt:variant>
        <vt:i4>2621562</vt:i4>
      </vt:variant>
      <vt:variant>
        <vt:i4>18</vt:i4>
      </vt:variant>
      <vt:variant>
        <vt:i4>0</vt:i4>
      </vt:variant>
      <vt:variant>
        <vt:i4>5</vt:i4>
      </vt:variant>
      <vt:variant>
        <vt:lpwstr>http://www.potaroo.net</vt:lpwstr>
      </vt:variant>
      <vt:variant>
        <vt:lpwstr/>
      </vt:variant>
      <vt:variant>
        <vt:i4>5832813</vt:i4>
      </vt:variant>
      <vt:variant>
        <vt:i4>15</vt:i4>
      </vt:variant>
      <vt:variant>
        <vt:i4>0</vt:i4>
      </vt:variant>
      <vt:variant>
        <vt:i4>5</vt:i4>
      </vt:variant>
      <vt:variant>
        <vt:lpwstr>http://labs.apnic.net</vt:lpwstr>
      </vt:variant>
      <vt:variant>
        <vt:lpwstr/>
      </vt:variant>
      <vt:variant>
        <vt:i4>7733357</vt:i4>
      </vt:variant>
      <vt:variant>
        <vt:i4>12</vt:i4>
      </vt:variant>
      <vt:variant>
        <vt:i4>0</vt:i4>
      </vt:variant>
      <vt:variant>
        <vt:i4>5</vt:i4>
      </vt:variant>
      <vt:variant>
        <vt:lpwstr>http://labs.apnic.net/</vt:lpwstr>
      </vt:variant>
      <vt:variant>
        <vt:lpwstr/>
      </vt:variant>
      <vt:variant>
        <vt:i4>7798887</vt:i4>
      </vt:variant>
      <vt:variant>
        <vt:i4>9</vt:i4>
      </vt:variant>
      <vt:variant>
        <vt:i4>0</vt:i4>
      </vt:variant>
      <vt:variant>
        <vt:i4>5</vt:i4>
      </vt:variant>
      <vt:variant>
        <vt:lpwstr>http://www.cidr-report.org</vt:lpwstr>
      </vt:variant>
      <vt:variant>
        <vt:lpwstr/>
      </vt:variant>
      <vt:variant>
        <vt:i4>7143505</vt:i4>
      </vt:variant>
      <vt:variant>
        <vt:i4>6</vt:i4>
      </vt:variant>
      <vt:variant>
        <vt:i4>0</vt:i4>
      </vt:variant>
      <vt:variant>
        <vt:i4>5</vt:i4>
      </vt:variant>
      <vt:variant>
        <vt:lpwstr>http://analytics.google.com</vt:lpwstr>
      </vt:variant>
      <vt:variant>
        <vt:lpwstr/>
      </vt:variant>
      <vt:variant>
        <vt:i4>5832813</vt:i4>
      </vt:variant>
      <vt:variant>
        <vt:i4>3</vt:i4>
      </vt:variant>
      <vt:variant>
        <vt:i4>0</vt:i4>
      </vt:variant>
      <vt:variant>
        <vt:i4>5</vt:i4>
      </vt:variant>
      <vt:variant>
        <vt:lpwstr>http://labs.apnic.net</vt:lpwstr>
      </vt:variant>
      <vt:variant>
        <vt:lpwstr/>
      </vt:variant>
      <vt:variant>
        <vt:i4>6815761</vt:i4>
      </vt:variant>
      <vt:variant>
        <vt:i4>0</vt:i4>
      </vt:variant>
      <vt:variant>
        <vt:i4>0</vt:i4>
      </vt:variant>
      <vt:variant>
        <vt:i4>5</vt:i4>
      </vt:variant>
      <vt:variant>
        <vt:lpwstr>http://www.isoc.org/wp/worldipv6day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3</cp:revision>
  <cp:lastPrinted>2025-01-11T23:47:00Z</cp:lastPrinted>
  <dcterms:created xsi:type="dcterms:W3CDTF">2025-01-11T23:47:00Z</dcterms:created>
  <dcterms:modified xsi:type="dcterms:W3CDTF">2025-01-11T23:47:00Z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7c8fd9-2d80-4973-8728-fd83a33ec7e7_Enabled">
    <vt:lpwstr>true</vt:lpwstr>
  </property>
  <property fmtid="{D5CDD505-2E9C-101B-9397-08002B2CF9AE}" pid="3" name="MSIP_Label_fa7c8fd9-2d80-4973-8728-fd83a33ec7e7_SetDate">
    <vt:lpwstr>2024-01-15T18:52:04Z</vt:lpwstr>
  </property>
  <property fmtid="{D5CDD505-2E9C-101B-9397-08002B2CF9AE}" pid="4" name="MSIP_Label_fa7c8fd9-2d80-4973-8728-fd83a33ec7e7_Method">
    <vt:lpwstr>Privileged</vt:lpwstr>
  </property>
  <property fmtid="{D5CDD505-2E9C-101B-9397-08002B2CF9AE}" pid="5" name="MSIP_Label_fa7c8fd9-2d80-4973-8728-fd83a33ec7e7_Name">
    <vt:lpwstr>Public</vt:lpwstr>
  </property>
  <property fmtid="{D5CDD505-2E9C-101B-9397-08002B2CF9AE}" pid="6" name="MSIP_Label_fa7c8fd9-2d80-4973-8728-fd83a33ec7e7_SiteId">
    <vt:lpwstr>127d8d0d-7ccf-473d-ab09-6e44ad752ded</vt:lpwstr>
  </property>
  <property fmtid="{D5CDD505-2E9C-101B-9397-08002B2CF9AE}" pid="7" name="MSIP_Label_fa7c8fd9-2d80-4973-8728-fd83a33ec7e7_ActionId">
    <vt:lpwstr>8c794477-d8ea-44c7-bc04-0777e9095117</vt:lpwstr>
  </property>
  <property fmtid="{D5CDD505-2E9C-101B-9397-08002B2CF9AE}" pid="8" name="MSIP_Label_fa7c8fd9-2d80-4973-8728-fd83a33ec7e7_ContentBits">
    <vt:lpwstr>0</vt:lpwstr>
  </property>
</Properties>
</file>