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9446B" w14:textId="2EBBC2EB" w:rsidR="00924045" w:rsidRPr="006854D1" w:rsidRDefault="00924045" w:rsidP="00333640">
      <w:pPr>
        <w:pStyle w:val="Heading1"/>
        <w:jc w:val="right"/>
      </w:pPr>
      <w:r w:rsidRPr="006854D1">
        <w:t xml:space="preserve">The ISP Column </w:t>
      </w:r>
    </w:p>
    <w:p w14:paraId="3F228C1C" w14:textId="788EE638" w:rsidR="00924045" w:rsidRPr="006854D1" w:rsidRDefault="00924045" w:rsidP="008866B3">
      <w:pPr>
        <w:jc w:val="right"/>
        <w:rPr>
          <w:i/>
          <w:szCs w:val="20"/>
        </w:rPr>
      </w:pPr>
      <w:r w:rsidRPr="006854D1">
        <w:rPr>
          <w:i/>
          <w:szCs w:val="20"/>
        </w:rPr>
        <w:t xml:space="preserve">A column on </w:t>
      </w:r>
      <w:r w:rsidR="00974A43" w:rsidRPr="006854D1">
        <w:rPr>
          <w:i/>
          <w:szCs w:val="20"/>
        </w:rPr>
        <w:t xml:space="preserve">various </w:t>
      </w:r>
      <w:r w:rsidRPr="006854D1">
        <w:rPr>
          <w:i/>
          <w:szCs w:val="20"/>
        </w:rPr>
        <w:t>things Internet</w:t>
      </w:r>
    </w:p>
    <w:p w14:paraId="2B65EF18" w14:textId="77777777" w:rsidR="008866B3" w:rsidRPr="006854D1" w:rsidRDefault="008866B3" w:rsidP="00576C45">
      <w:pPr>
        <w:pBdr>
          <w:bottom w:val="single" w:sz="4" w:space="1" w:color="7F7F7F"/>
        </w:pBdr>
        <w:rPr>
          <w:sz w:val="16"/>
          <w:szCs w:val="16"/>
        </w:rPr>
      </w:pPr>
    </w:p>
    <w:p w14:paraId="00923082" w14:textId="77777777" w:rsidR="00360597" w:rsidRPr="006854D1" w:rsidRDefault="00360597" w:rsidP="00D7568D">
      <w:pPr>
        <w:pStyle w:val="Heading1"/>
        <w:spacing w:before="0"/>
      </w:pPr>
    </w:p>
    <w:tbl>
      <w:tblPr>
        <w:tblW w:w="5000" w:type="pct"/>
        <w:tblCellSpacing w:w="0" w:type="dxa"/>
        <w:tblCellMar>
          <w:left w:w="0" w:type="dxa"/>
          <w:right w:w="0" w:type="dxa"/>
        </w:tblCellMar>
        <w:tblLook w:val="0000" w:firstRow="0" w:lastRow="0" w:firstColumn="0" w:lastColumn="0" w:noHBand="0" w:noVBand="0"/>
      </w:tblPr>
      <w:tblGrid>
        <w:gridCol w:w="10206"/>
      </w:tblGrid>
      <w:tr w:rsidR="002E2F02" w:rsidRPr="006854D1" w14:paraId="6B6E81E0" w14:textId="77777777" w:rsidTr="00E72B95">
        <w:trPr>
          <w:tblCellSpacing w:w="0" w:type="dxa"/>
        </w:trPr>
        <w:tc>
          <w:tcPr>
            <w:tcW w:w="5000" w:type="pct"/>
          </w:tcPr>
          <w:p w14:paraId="035B94F7" w14:textId="11089F15" w:rsidR="002E2F02" w:rsidRPr="006854D1" w:rsidRDefault="009345D6" w:rsidP="00E72B95">
            <w:pPr>
              <w:jc w:val="right"/>
            </w:pPr>
            <w:r>
              <w:t>July</w:t>
            </w:r>
            <w:r w:rsidR="002E2F02" w:rsidRPr="006854D1">
              <w:t xml:space="preserve"> 20</w:t>
            </w:r>
            <w:r w:rsidR="005E62BC">
              <w:t>21</w:t>
            </w:r>
          </w:p>
        </w:tc>
      </w:tr>
    </w:tbl>
    <w:p w14:paraId="097951EB" w14:textId="77777777" w:rsidR="002E2F02" w:rsidRPr="006854D1" w:rsidRDefault="002E2F02" w:rsidP="00A266DA">
      <w:pPr>
        <w:jc w:val="right"/>
        <w:rPr>
          <w:i/>
        </w:rPr>
      </w:pPr>
      <w:r w:rsidRPr="006854D1">
        <w:t>Geoff Huston</w:t>
      </w:r>
    </w:p>
    <w:p w14:paraId="16E9E3AF" w14:textId="77777777" w:rsidR="00C930CA" w:rsidRPr="006854D1" w:rsidRDefault="00C930CA" w:rsidP="002E2F02">
      <w:pPr>
        <w:rPr>
          <w:rFonts w:eastAsia="MS Gothic"/>
          <w:b/>
          <w:bCs/>
          <w:color w:val="CC6633"/>
          <w:sz w:val="32"/>
          <w:szCs w:val="32"/>
        </w:rPr>
      </w:pPr>
    </w:p>
    <w:p w14:paraId="653FA6ED" w14:textId="550101A3" w:rsidR="008938FC" w:rsidRPr="008938FC" w:rsidRDefault="00CC127A" w:rsidP="00472E18">
      <w:pPr>
        <w:pStyle w:val="Heading1"/>
        <w:rPr>
          <w:lang w:val="en-US"/>
        </w:rPr>
      </w:pPr>
      <w:r>
        <w:rPr>
          <w:lang w:val="en-US"/>
        </w:rPr>
        <w:t xml:space="preserve">Another </w:t>
      </w:r>
      <w:r w:rsidR="008A2DDC">
        <w:rPr>
          <w:lang w:val="en-US"/>
        </w:rPr>
        <w:t>Portent</w:t>
      </w:r>
      <w:r w:rsidR="00A537EF">
        <w:rPr>
          <w:lang w:val="en-US"/>
        </w:rPr>
        <w:t xml:space="preserve"> of the </w:t>
      </w:r>
      <w:r>
        <w:rPr>
          <w:lang w:val="en-US"/>
        </w:rPr>
        <w:t>Decline and Fall of the Telco</w:t>
      </w:r>
    </w:p>
    <w:p w14:paraId="55F3AF28" w14:textId="77777777" w:rsidR="008938FC" w:rsidRPr="008938FC" w:rsidRDefault="008938FC" w:rsidP="008938FC">
      <w:pPr>
        <w:rPr>
          <w:lang w:val="en-US"/>
        </w:rPr>
      </w:pPr>
    </w:p>
    <w:p w14:paraId="6B4F2C61" w14:textId="51823D5E" w:rsidR="00CC127A" w:rsidRDefault="00CC127A" w:rsidP="00CC127A">
      <w:r>
        <w:t xml:space="preserve">The Swedish carrier group Telia has </w:t>
      </w:r>
      <w:hyperlink r:id="rId8" w:history="1">
        <w:r w:rsidRPr="00CC127A">
          <w:rPr>
            <w:rStyle w:val="Hyperlink"/>
          </w:rPr>
          <w:t>recently announced</w:t>
        </w:r>
      </w:hyperlink>
      <w:r>
        <w:t xml:space="preserve"> the sale of its international </w:t>
      </w:r>
      <w:r w:rsidR="00F36F2E">
        <w:t xml:space="preserve">wholesale </w:t>
      </w:r>
      <w:r>
        <w:t xml:space="preserve">business to </w:t>
      </w:r>
      <w:proofErr w:type="spellStart"/>
      <w:r>
        <w:t>Polhelm</w:t>
      </w:r>
      <w:proofErr w:type="spellEnd"/>
      <w:r>
        <w:t xml:space="preserve"> Infra, an infrastructure investment manager jointly owned by a number of Swedish pension funds. Why would a telco operator sell off what was a core part of its operation to a pension fund?</w:t>
      </w:r>
    </w:p>
    <w:p w14:paraId="060CE8B3" w14:textId="77777777" w:rsidR="00CC5820" w:rsidRDefault="00CC5820" w:rsidP="00CC127A"/>
    <w:p w14:paraId="0F45DDFA" w14:textId="30F8D409" w:rsidR="00CC127A" w:rsidRDefault="00CC127A" w:rsidP="00CC127A">
      <w:r>
        <w:t xml:space="preserve">The Internet was originally conceived as </w:t>
      </w:r>
      <w:r w:rsidRPr="00CC127A">
        <w:rPr>
          <w:i/>
          <w:iCs/>
        </w:rPr>
        <w:t>a telephone network for computers</w:t>
      </w:r>
      <w:r>
        <w:t xml:space="preserve">. (I should mention that this was not a concept that was unique to the Internet at the time. Most computer networks were designed using a similar transactional model.) By that I mean that, like the human users of a telephone network, computers could be both senders and receivers, conversations occurred between </w:t>
      </w:r>
      <w:r w:rsidR="00F36F2E">
        <w:t xml:space="preserve">any </w:t>
      </w:r>
      <w:r>
        <w:t xml:space="preserve">two parties, and conversations had a distinct start and </w:t>
      </w:r>
      <w:r w:rsidR="00F36F2E">
        <w:t xml:space="preserve">an equally </w:t>
      </w:r>
      <w:r w:rsidR="00E77042">
        <w:t>clear end</w:t>
      </w:r>
      <w:r>
        <w:t xml:space="preserve">. The network was largely a passive fabric of connectivity, and a client of the network could only initiate conversations with other </w:t>
      </w:r>
      <w:r w:rsidR="00F36F2E">
        <w:t>clients and</w:t>
      </w:r>
      <w:r>
        <w:t xml:space="preserve"> could not converse directly with the network itself. This model was suited to the early mainframe model of the computer environment, where computers were shared by many users and used for many purposes at once.</w:t>
      </w:r>
    </w:p>
    <w:p w14:paraId="066172A0" w14:textId="77777777" w:rsidR="00CC127A" w:rsidRDefault="00CC127A" w:rsidP="00CC127A"/>
    <w:p w14:paraId="6DC5C25C" w14:textId="43C5015A" w:rsidR="00F36F2E" w:rsidRDefault="00CC127A" w:rsidP="00CC127A">
      <w:r>
        <w:t xml:space="preserve">However, the computer environment has changed radically over the past forty years, and with it the service requirements </w:t>
      </w:r>
      <w:r w:rsidR="00F36F2E">
        <w:t xml:space="preserve">from a </w:t>
      </w:r>
      <w:r>
        <w:t>network ha</w:t>
      </w:r>
      <w:r w:rsidR="00A54A51">
        <w:t>ve</w:t>
      </w:r>
      <w:r>
        <w:t xml:space="preserve"> changed as well</w:t>
      </w:r>
      <w:r w:rsidR="00F36F2E">
        <w:t>. Particularl</w:t>
      </w:r>
      <w:r w:rsidR="00E77042">
        <w:t>y so</w:t>
      </w:r>
      <w:r w:rsidR="00F36F2E">
        <w:t xml:space="preserve"> with relation to the Internet</w:t>
      </w:r>
      <w:r>
        <w:t xml:space="preserve">. The major shift has been </w:t>
      </w:r>
      <w:r w:rsidR="00A54A51">
        <w:t>the</w:t>
      </w:r>
      <w:r>
        <w:t xml:space="preserve"> specialisation </w:t>
      </w:r>
      <w:r w:rsidR="00A54A51">
        <w:t>of</w:t>
      </w:r>
      <w:r>
        <w:t xml:space="preserve"> the roles of client and server. Services are hosted within dedicated platforms that are constructed specifically for a server role</w:t>
      </w:r>
      <w:r w:rsidR="00F36F2E">
        <w:t>. T</w:t>
      </w:r>
      <w:r>
        <w:t xml:space="preserve">hese days we use data centres, constructed as </w:t>
      </w:r>
      <w:r w:rsidR="00E77042">
        <w:t>large-scale</w:t>
      </w:r>
      <w:r>
        <w:t xml:space="preserve"> concentration points of storage and processing capability</w:t>
      </w:r>
      <w:r w:rsidR="00F36F2E">
        <w:t>,</w:t>
      </w:r>
      <w:r>
        <w:t xml:space="preserve"> as the </w:t>
      </w:r>
      <w:r w:rsidR="00F36F2E">
        <w:t>platform</w:t>
      </w:r>
      <w:r>
        <w:t xml:space="preserve"> for service</w:t>
      </w:r>
      <w:r w:rsidR="00F36F2E">
        <w:t xml:space="preserve"> delivery</w:t>
      </w:r>
      <w:r>
        <w:t xml:space="preserve">, while clients have disappeared into our pockets, or quietly embedded themselves into a myriad of </w:t>
      </w:r>
      <w:r w:rsidRPr="00F36F2E">
        <w:rPr>
          <w:i/>
          <w:iCs/>
        </w:rPr>
        <w:t>things</w:t>
      </w:r>
      <w:r>
        <w:t xml:space="preserve"> where they</w:t>
      </w:r>
      <w:r w:rsidR="00F36F2E">
        <w:t>’re</w:t>
      </w:r>
      <w:r>
        <w:t xml:space="preserve"> all but invisible. The immediate corollary for the network's architecture was a transformation of the network into the same client/server distinction. Clients initiate network transactions with servers, and a subsequent bidirectional data stream ensues.</w:t>
      </w:r>
    </w:p>
    <w:p w14:paraId="57A61760" w14:textId="77777777" w:rsidR="00F36F2E" w:rsidRDefault="00F36F2E" w:rsidP="00CC127A"/>
    <w:p w14:paraId="352D1AEC" w14:textId="38A43FF9" w:rsidR="00F36F2E" w:rsidRDefault="00CC127A" w:rsidP="00CC127A">
      <w:r>
        <w:t>However, the client/server network ha</w:t>
      </w:r>
      <w:r w:rsidR="00F36F2E">
        <w:t>d</w:t>
      </w:r>
      <w:r>
        <w:t xml:space="preserve"> a somewhat unanticipated outcome. If servers never initiated a transaction with a client, then clients did not need to have a permanently available unique rendezvous address</w:t>
      </w:r>
      <w:r w:rsidR="00F36F2E">
        <w:t xml:space="preserve"> for other to use to initiate a network transaction</w:t>
      </w:r>
      <w:r>
        <w:t>. When a client was not talking with a server then it had no need of an IP endpoint address</w:t>
      </w:r>
      <w:r w:rsidR="00F36F2E">
        <w:t xml:space="preserve"> at all.</w:t>
      </w:r>
      <w:r>
        <w:t xml:space="preserve"> There is an associated observation that a client could use many different client-side endpoint addresses to talk simultaneously to many different servers. </w:t>
      </w:r>
      <w:r w:rsidR="00F36F2E">
        <w:t>The client’s address only needed to be relatively unique to those used by other conversations, and a client had no requirement to present the same source address in all of its transactions with servers.</w:t>
      </w:r>
    </w:p>
    <w:p w14:paraId="12A389A9" w14:textId="77777777" w:rsidR="00F36F2E" w:rsidRDefault="00F36F2E" w:rsidP="00CC127A"/>
    <w:p w14:paraId="63771D71" w14:textId="42856494" w:rsidR="00CC127A" w:rsidRDefault="00CC127A" w:rsidP="00CC127A">
      <w:r>
        <w:t xml:space="preserve">From the point of view of the client, an IP address is merely a conversation token, to be borrowed and used for a conversation with a server and then passed back into a </w:t>
      </w:r>
      <w:r w:rsidR="00F36F2E">
        <w:t xml:space="preserve">shared </w:t>
      </w:r>
      <w:r>
        <w:t>pool. This form of sharing a pool of endpoint addresses between clients was implemented</w:t>
      </w:r>
      <w:r w:rsidR="00F36F2E">
        <w:t xml:space="preserve"> by</w:t>
      </w:r>
      <w:r>
        <w:t xml:space="preserve"> Network Address Translators (NATs) and</w:t>
      </w:r>
      <w:r w:rsidR="00F36F2E">
        <w:t xml:space="preserve"> it </w:t>
      </w:r>
      <w:r>
        <w:t xml:space="preserve">is a foundational technology of today's </w:t>
      </w:r>
      <w:r w:rsidR="00A54A51">
        <w:t>I</w:t>
      </w:r>
      <w:r>
        <w:t>nternet. Indeed, it is the reason why the exhaustion of the supply of unique IPv4 addresses has had no visible impact on the Internet, and the reason why IPv6 is still seen as an option, rather than an urgent necessity.</w:t>
      </w:r>
    </w:p>
    <w:p w14:paraId="6BB17687" w14:textId="77777777" w:rsidR="00CC127A" w:rsidRDefault="00CC127A" w:rsidP="00CC127A"/>
    <w:p w14:paraId="121D0A43" w14:textId="67D5E884" w:rsidR="00CC127A" w:rsidRDefault="00CC127A" w:rsidP="00CC127A">
      <w:r>
        <w:t xml:space="preserve">But </w:t>
      </w:r>
      <w:r w:rsidR="00F36F2E">
        <w:t xml:space="preserve">even </w:t>
      </w:r>
      <w:r>
        <w:t xml:space="preserve">this </w:t>
      </w:r>
      <w:r w:rsidR="00F36F2E">
        <w:t xml:space="preserve">client/server architecture </w:t>
      </w:r>
      <w:r>
        <w:t xml:space="preserve">has been a temporary model for the Internet. We have </w:t>
      </w:r>
      <w:r w:rsidR="00E77042">
        <w:t xml:space="preserve">amassed </w:t>
      </w:r>
      <w:r>
        <w:t>abundant processing and storage capacity in the digital world. What is in short supply is time. The Earth has an unavoidable physical size, and there is an equally unavoidable delay in propagating a signal between two points. The further apart these two points</w:t>
      </w:r>
      <w:r w:rsidR="00E77042">
        <w:t>, then</w:t>
      </w:r>
      <w:r>
        <w:t xml:space="preserve"> the longer the propagation delay for a signal between those points. </w:t>
      </w:r>
      <w:r>
        <w:lastRenderedPageBreak/>
        <w:t xml:space="preserve">However, </w:t>
      </w:r>
      <w:r w:rsidR="00E77042">
        <w:t>we can use</w:t>
      </w:r>
      <w:r>
        <w:t xml:space="preserve"> abundant processing and storage capacity</w:t>
      </w:r>
      <w:r w:rsidR="00E77042">
        <w:t xml:space="preserve"> to steer a path </w:t>
      </w:r>
      <w:r>
        <w:t>around this</w:t>
      </w:r>
      <w:r w:rsidR="00E77042">
        <w:t xml:space="preserve"> limitation</w:t>
      </w:r>
      <w:r>
        <w:t xml:space="preserve">. If we clone these service delivery points across the world and devise a way to </w:t>
      </w:r>
      <w:r w:rsidR="00E77042">
        <w:t>direct</w:t>
      </w:r>
      <w:r>
        <w:t xml:space="preserve"> each client to the closest instance of the service, then we can speed things up. Over the past decade o</w:t>
      </w:r>
      <w:r w:rsidR="00A54A51">
        <w:t>r</w:t>
      </w:r>
      <w:r>
        <w:t xml:space="preserve"> so that is exactly what we’ve been doing. These days Content Distribution Networks are the</w:t>
      </w:r>
      <w:r w:rsidR="00E77042">
        <w:t xml:space="preserve"> core </w:t>
      </w:r>
      <w:r>
        <w:t>of the Internet</w:t>
      </w:r>
      <w:r w:rsidR="00E77042">
        <w:t>’s operational model</w:t>
      </w:r>
      <w:r>
        <w:t xml:space="preserve">, and the aim is to position services in close </w:t>
      </w:r>
      <w:r w:rsidR="00E77042">
        <w:t xml:space="preserve">physical </w:t>
      </w:r>
      <w:r>
        <w:t xml:space="preserve">proximity to every significant cluster of clients. Rather than </w:t>
      </w:r>
      <w:r w:rsidR="00E77042">
        <w:t xml:space="preserve">having </w:t>
      </w:r>
      <w:r>
        <w:t xml:space="preserve">a network </w:t>
      </w:r>
      <w:r w:rsidR="00E77042">
        <w:t xml:space="preserve">that </w:t>
      </w:r>
      <w:r>
        <w:t>bring</w:t>
      </w:r>
      <w:r w:rsidR="00E77042">
        <w:t>s</w:t>
      </w:r>
      <w:r>
        <w:t xml:space="preserve"> </w:t>
      </w:r>
      <w:r w:rsidR="00E77042">
        <w:t xml:space="preserve">diverse </w:t>
      </w:r>
      <w:r>
        <w:t xml:space="preserve">clients to a </w:t>
      </w:r>
      <w:r w:rsidR="00E77042">
        <w:t xml:space="preserve">unique </w:t>
      </w:r>
      <w:r>
        <w:t>service</w:t>
      </w:r>
      <w:r w:rsidR="00E77042">
        <w:t xml:space="preserve"> delivery point</w:t>
      </w:r>
      <w:r>
        <w:t xml:space="preserve">, </w:t>
      </w:r>
      <w:r w:rsidR="00E77042">
        <w:t>the network is now facilitating the selection of the best instance of a particular service delivery point from many potential alternatives.</w:t>
      </w:r>
    </w:p>
    <w:p w14:paraId="7F1F717F" w14:textId="77777777" w:rsidR="00CC127A" w:rsidRDefault="00CC127A" w:rsidP="00CC127A"/>
    <w:p w14:paraId="58B66B14" w14:textId="372880CF" w:rsidR="00E77042" w:rsidRDefault="00CC127A" w:rsidP="00CC127A">
      <w:r>
        <w:t>These changes in the design of the Internet can be seen in many metrics. The speed and quality of service delivery ha</w:t>
      </w:r>
      <w:r w:rsidR="00A54A51">
        <w:t>ve</w:t>
      </w:r>
      <w:r>
        <w:t xml:space="preserve"> been improved by orders of magnitude in many </w:t>
      </w:r>
      <w:r w:rsidR="00E77042">
        <w:t>for many users</w:t>
      </w:r>
      <w:r>
        <w:t>. The network is used more efficiently</w:t>
      </w:r>
      <w:r w:rsidR="00E77042">
        <w:t>,</w:t>
      </w:r>
      <w:r>
        <w:t xml:space="preserve"> and the costs associated with network transit have dropped dramatically.</w:t>
      </w:r>
    </w:p>
    <w:p w14:paraId="75A5F9EE" w14:textId="77777777" w:rsidR="00E77042" w:rsidRDefault="00E77042" w:rsidP="00CC127A"/>
    <w:p w14:paraId="74520813" w14:textId="6936C810" w:rsidR="00CC127A" w:rsidRDefault="00CC127A" w:rsidP="00CC127A">
      <w:r>
        <w:t>Faster. Cheaper. Better. What's the problem?</w:t>
      </w:r>
    </w:p>
    <w:p w14:paraId="0A0CB352" w14:textId="77777777" w:rsidR="00CC127A" w:rsidRDefault="00CC127A" w:rsidP="00CC127A"/>
    <w:p w14:paraId="253C9F11" w14:textId="77777777" w:rsidR="00E77042" w:rsidRDefault="00CC127A" w:rsidP="00CC127A">
      <w:r>
        <w:t>Well, for most of us it</w:t>
      </w:r>
      <w:r w:rsidR="00E77042">
        <w:t>’</w:t>
      </w:r>
      <w:r>
        <w:t>s probably all good. There is however, one case where it</w:t>
      </w:r>
      <w:r w:rsidR="00E77042">
        <w:t>’</w:t>
      </w:r>
      <w:r>
        <w:t>s not</w:t>
      </w:r>
      <w:r w:rsidR="00E77042">
        <w:t xml:space="preserve"> quite so rosy</w:t>
      </w:r>
      <w:r>
        <w:t xml:space="preserve">, and that's the Internet </w:t>
      </w:r>
      <w:r w:rsidR="00E77042">
        <w:t>t</w:t>
      </w:r>
      <w:r>
        <w:t>ransit service providers. Whe</w:t>
      </w:r>
      <w:r w:rsidR="00E77042">
        <w:t>ther</w:t>
      </w:r>
      <w:r>
        <w:t xml:space="preserve"> your assets are under the ocean</w:t>
      </w:r>
      <w:r w:rsidR="00E77042">
        <w:t xml:space="preserve"> </w:t>
      </w:r>
      <w:r>
        <w:t xml:space="preserve">or trenched across long </w:t>
      </w:r>
      <w:r w:rsidR="00E77042">
        <w:t>overland distances</w:t>
      </w:r>
      <w:r>
        <w:t xml:space="preserve"> it</w:t>
      </w:r>
      <w:r w:rsidR="00E77042">
        <w:t>’</w:t>
      </w:r>
      <w:r>
        <w:t>s somewhat challenging to change your asset base and reposition yourself to define a new engagement model with content-centric service network architectures. In some cases</w:t>
      </w:r>
      <w:r w:rsidR="00E77042">
        <w:t>,</w:t>
      </w:r>
      <w:r>
        <w:t xml:space="preserve"> we see these transit providers just holding on and riding through this change process</w:t>
      </w:r>
      <w:r w:rsidR="00E77042">
        <w:t xml:space="preserve"> and accept the inevitable consequences</w:t>
      </w:r>
      <w:r>
        <w:t xml:space="preserve">. Others are trying to pivot their business and get out while they can. </w:t>
      </w:r>
    </w:p>
    <w:p w14:paraId="579FF1CE" w14:textId="77777777" w:rsidR="00E77042" w:rsidRDefault="00E77042" w:rsidP="00CC127A"/>
    <w:p w14:paraId="2448125A" w14:textId="2A1DE756" w:rsidR="00CC127A" w:rsidRDefault="00E77042" w:rsidP="00CC127A">
      <w:r>
        <w:t xml:space="preserve">For that reason, </w:t>
      </w:r>
      <w:r w:rsidR="00CC127A">
        <w:t xml:space="preserve">I was drawn </w:t>
      </w:r>
      <w:r w:rsidR="00A54A51">
        <w:t>to</w:t>
      </w:r>
      <w:r w:rsidR="00CC127A">
        <w:t xml:space="preserve"> </w:t>
      </w:r>
      <w:r>
        <w:t xml:space="preserve">this Telia announcement to divest itself of its wholesale </w:t>
      </w:r>
      <w:r w:rsidR="00CC127A">
        <w:t>international Internet transit business. One possible explanation here is that Telia is cutting and running before the residual val</w:t>
      </w:r>
      <w:r w:rsidR="00CC5820">
        <w:t>u</w:t>
      </w:r>
      <w:r w:rsidR="00CC127A">
        <w:t xml:space="preserve">e of its transit business and transmission assets plummet to the point where they are basically worthless. </w:t>
      </w:r>
      <w:r>
        <w:t>Of course,</w:t>
      </w:r>
      <w:r w:rsidR="00CC127A">
        <w:t xml:space="preserve"> the reasons why a company divests itself of part of its activities is not always obvious, but assuming that companies act in terms of perceived </w:t>
      </w:r>
      <w:r>
        <w:t>self-interest</w:t>
      </w:r>
      <w:r w:rsidR="00CC127A">
        <w:t xml:space="preserve"> and enhancing shareholder value it would appear that a number of Internet transit providers are seeing the transit market </w:t>
      </w:r>
      <w:r>
        <w:t xml:space="preserve">entering a phase of decline that could possibly be </w:t>
      </w:r>
      <w:r w:rsidR="00FE3742">
        <w:t>terminal and</w:t>
      </w:r>
      <w:r w:rsidR="00CC127A">
        <w:t xml:space="preserve"> are looking for other investments that offer a better return.</w:t>
      </w:r>
    </w:p>
    <w:p w14:paraId="7BF4DE0F" w14:textId="77777777" w:rsidR="00CC127A" w:rsidRDefault="00CC127A" w:rsidP="00CC127A"/>
    <w:p w14:paraId="7BF7DDB5" w14:textId="5556A959" w:rsidR="00CC127A" w:rsidRDefault="00CC127A" w:rsidP="00CC127A">
      <w:r>
        <w:t>It</w:t>
      </w:r>
      <w:r w:rsidR="00E77042">
        <w:t>’</w:t>
      </w:r>
      <w:r>
        <w:t>s not just the transit business, but the larger picture of cross-investment in foreign markets</w:t>
      </w:r>
      <w:r w:rsidR="00FE0145">
        <w:t xml:space="preserve"> that could well be in decline. The period of the </w:t>
      </w:r>
      <w:r w:rsidR="00FE0145" w:rsidRPr="00FE0145">
        <w:rPr>
          <w:i/>
          <w:iCs/>
        </w:rPr>
        <w:t>techno-</w:t>
      </w:r>
      <w:proofErr w:type="spellStart"/>
      <w:r w:rsidR="00FE0145" w:rsidRPr="00FE0145">
        <w:rPr>
          <w:i/>
          <w:iCs/>
        </w:rPr>
        <w:t>coloni</w:t>
      </w:r>
      <w:r w:rsidR="00FE0145">
        <w:rPr>
          <w:i/>
          <w:iCs/>
        </w:rPr>
        <w:t>ali</w:t>
      </w:r>
      <w:r w:rsidR="00FE0145" w:rsidRPr="00FE0145">
        <w:rPr>
          <w:i/>
          <w:iCs/>
        </w:rPr>
        <w:t>sation</w:t>
      </w:r>
      <w:proofErr w:type="spellEnd"/>
      <w:r w:rsidR="00FE0145">
        <w:t xml:space="preserve"> of the digital world,</w:t>
      </w:r>
      <w:r>
        <w:t xml:space="preserve"> to put it somewhat cynically, where </w:t>
      </w:r>
      <w:proofErr w:type="spellStart"/>
      <w:r>
        <w:t>telco</w:t>
      </w:r>
      <w:r w:rsidR="00FE0145">
        <w:t>s</w:t>
      </w:r>
      <w:proofErr w:type="spellEnd"/>
      <w:r w:rsidR="00FE0145">
        <w:t xml:space="preserve"> </w:t>
      </w:r>
      <w:r>
        <w:t>whose home market</w:t>
      </w:r>
      <w:r w:rsidR="00FE0145">
        <w:t xml:space="preserve">s were </w:t>
      </w:r>
      <w:r>
        <w:t>saturated look</w:t>
      </w:r>
      <w:r w:rsidR="00FE0145">
        <w:t>ed</w:t>
      </w:r>
      <w:r>
        <w:t xml:space="preserve"> outward to less developed markets where they believe</w:t>
      </w:r>
      <w:r w:rsidR="00FE0145">
        <w:t>d</w:t>
      </w:r>
      <w:r>
        <w:t xml:space="preserve"> there </w:t>
      </w:r>
      <w:r w:rsidR="00FE0145">
        <w:t>was</w:t>
      </w:r>
      <w:r>
        <w:t xml:space="preserve"> </w:t>
      </w:r>
      <w:r w:rsidR="00A54A51">
        <w:t xml:space="preserve">an </w:t>
      </w:r>
      <w:r>
        <w:t>opportunity for further growth and financial rewards</w:t>
      </w:r>
      <w:r w:rsidR="00FE0145">
        <w:t xml:space="preserve">, could well be </w:t>
      </w:r>
      <w:proofErr w:type="gramStart"/>
      <w:r w:rsidR="00FE0145">
        <w:t>drawing to a close</w:t>
      </w:r>
      <w:proofErr w:type="gramEnd"/>
      <w:r w:rsidR="00FE0145">
        <w:t xml:space="preserve">. It’s not just Telia selling off their international enterprises and investments, but they’re joined by </w:t>
      </w:r>
      <w:r>
        <w:t>Norway's Telenor and Sweden's Tele2 are following a similar path of withdrawing from foreign markets.</w:t>
      </w:r>
      <w:r w:rsidR="00210FAD">
        <w:t xml:space="preserve"> A summary of the changes over the past 5 years for these Nordic </w:t>
      </w:r>
      <w:proofErr w:type="spellStart"/>
      <w:r w:rsidR="00210FAD">
        <w:t>telcos</w:t>
      </w:r>
      <w:proofErr w:type="spellEnd"/>
      <w:r w:rsidR="00210FAD">
        <w:t xml:space="preserve"> is shown in Figure 1.</w:t>
      </w:r>
    </w:p>
    <w:p w14:paraId="57F0684A" w14:textId="3CDDD066" w:rsidR="00210FAD" w:rsidRDefault="00210FAD" w:rsidP="00CC127A"/>
    <w:p w14:paraId="1C9A8088" w14:textId="7FFEC305" w:rsidR="00B07E42" w:rsidRDefault="00210FAD" w:rsidP="00CC127A">
      <w:r>
        <w:t xml:space="preserve">This shift is not isolated to the Nordic </w:t>
      </w:r>
      <w:proofErr w:type="spellStart"/>
      <w:r>
        <w:t>telcos</w:t>
      </w:r>
      <w:proofErr w:type="spellEnd"/>
      <w:r>
        <w:t xml:space="preserve"> of course. The wave of </w:t>
      </w:r>
      <w:r w:rsidR="00B07E42">
        <w:t xml:space="preserve">international investment in the telco sector started with the breakup of AT&amp;T in the late 1980’s and was followed by the progressive deregulation of many national telco sectors. The initial focus was the establishment of competitive phone services in national markets but was quickly followed by various Internet services, including wholesale and enterprise support services. Part of the rationale of this expansion into international markets was to service a domestic demand for international services in both the ISP and enterprise networks. However, </w:t>
      </w:r>
      <w:r w:rsidR="0059373A">
        <w:t xml:space="preserve">the emergence of cloud-based services to the enterprise and retail sectors has undermined the ongoing value of this form of </w:t>
      </w:r>
      <w:r w:rsidR="0010073E">
        <w:t xml:space="preserve">distributed </w:t>
      </w:r>
      <w:r w:rsidR="0059373A">
        <w:t>service</w:t>
      </w:r>
      <w:r w:rsidR="0010073E">
        <w:t xml:space="preserve"> integration</w:t>
      </w:r>
      <w:r w:rsidR="0059373A">
        <w:t xml:space="preserve">. A good </w:t>
      </w:r>
      <w:r w:rsidR="00F716A5">
        <w:t xml:space="preserve">recent </w:t>
      </w:r>
      <w:r w:rsidR="0059373A">
        <w:t xml:space="preserve">example here is </w:t>
      </w:r>
      <w:hyperlink r:id="rId9" w:history="1">
        <w:r w:rsidR="0059373A" w:rsidRPr="0059373A">
          <w:rPr>
            <w:rStyle w:val="Hyperlink"/>
          </w:rPr>
          <w:t>Microsof</w:t>
        </w:r>
        <w:r w:rsidR="0059373A" w:rsidRPr="0059373A">
          <w:rPr>
            <w:rStyle w:val="Hyperlink"/>
          </w:rPr>
          <w:t>t</w:t>
        </w:r>
        <w:r w:rsidR="0059373A" w:rsidRPr="0059373A">
          <w:rPr>
            <w:rStyle w:val="Hyperlink"/>
          </w:rPr>
          <w:t>’s Windows 365</w:t>
        </w:r>
      </w:hyperlink>
      <w:r w:rsidR="0059373A">
        <w:t xml:space="preserve"> service which takes the model of the now well-established cloud platform for applications and adds the </w:t>
      </w:r>
      <w:hyperlink r:id="rId10" w:history="1">
        <w:r w:rsidR="0059373A" w:rsidRPr="0059373A">
          <w:rPr>
            <w:rStyle w:val="Hyperlink"/>
          </w:rPr>
          <w:t>platform itself into the cloud</w:t>
        </w:r>
      </w:hyperlink>
      <w:r w:rsidR="0059373A">
        <w:t>, making the desktop itself a cloud-based service.</w:t>
      </w:r>
    </w:p>
    <w:p w14:paraId="6F01571F" w14:textId="463D7F69" w:rsidR="00CC127A" w:rsidRDefault="00CC127A" w:rsidP="00CC127A"/>
    <w:p w14:paraId="404DAF2B" w14:textId="5C6BB85C" w:rsidR="00FE0145" w:rsidRDefault="00FE0145" w:rsidP="00FE0145">
      <w:pPr>
        <w:ind w:left="720"/>
      </w:pPr>
      <w:r>
        <w:rPr>
          <w:noProof/>
        </w:rPr>
        <w:lastRenderedPageBreak/>
        <w:drawing>
          <wp:inline distT="0" distB="0" distL="0" distR="0" wp14:anchorId="22CCAA7E" wp14:editId="212178AD">
            <wp:extent cx="3808387" cy="4277811"/>
            <wp:effectExtent l="0" t="0" r="1905" b="254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1"/>
                    <a:stretch>
                      <a:fillRect/>
                    </a:stretch>
                  </pic:blipFill>
                  <pic:spPr>
                    <a:xfrm>
                      <a:off x="0" y="0"/>
                      <a:ext cx="3825531" cy="4297068"/>
                    </a:xfrm>
                    <a:prstGeom prst="rect">
                      <a:avLst/>
                    </a:prstGeom>
                  </pic:spPr>
                </pic:pic>
              </a:graphicData>
            </a:graphic>
          </wp:inline>
        </w:drawing>
      </w:r>
    </w:p>
    <w:p w14:paraId="21782F88" w14:textId="18EEED6F" w:rsidR="00CC127A" w:rsidRPr="00210FAD" w:rsidRDefault="00210FAD" w:rsidP="00210FAD">
      <w:pPr>
        <w:ind w:left="720"/>
        <w:jc w:val="left"/>
        <w:rPr>
          <w:i/>
          <w:iCs/>
          <w:sz w:val="21"/>
          <w:szCs w:val="21"/>
        </w:rPr>
      </w:pPr>
      <w:r w:rsidRPr="00210FAD">
        <w:rPr>
          <w:i/>
          <w:iCs/>
          <w:sz w:val="21"/>
          <w:szCs w:val="21"/>
        </w:rPr>
        <w:t xml:space="preserve">Figure 1 – Divestiture of International activities by Nordic Telcos - Source: </w:t>
      </w:r>
      <w:proofErr w:type="spellStart"/>
      <w:r w:rsidR="00B07E42">
        <w:rPr>
          <w:i/>
          <w:iCs/>
          <w:sz w:val="21"/>
          <w:szCs w:val="21"/>
        </w:rPr>
        <w:t>Telegeography</w:t>
      </w:r>
      <w:proofErr w:type="spellEnd"/>
      <w:r w:rsidR="00B07E42">
        <w:rPr>
          <w:i/>
          <w:iCs/>
          <w:sz w:val="21"/>
          <w:szCs w:val="21"/>
        </w:rPr>
        <w:t xml:space="preserve">, </w:t>
      </w:r>
      <w:r w:rsidR="00CC127A" w:rsidRPr="00210FAD">
        <w:rPr>
          <w:i/>
          <w:iCs/>
          <w:sz w:val="21"/>
          <w:szCs w:val="21"/>
        </w:rPr>
        <w:t>https://blog.telegeography.com/scandinavian-trio-show-strong-home-focus</w:t>
      </w:r>
    </w:p>
    <w:p w14:paraId="1AC44435" w14:textId="77777777" w:rsidR="00CC127A" w:rsidRDefault="00CC127A" w:rsidP="00CC127A"/>
    <w:p w14:paraId="7046DA1A" w14:textId="4C82751A" w:rsidR="0010073E" w:rsidRDefault="0010073E" w:rsidP="00CC127A">
      <w:r>
        <w:t xml:space="preserve">This change </w:t>
      </w:r>
      <w:r w:rsidR="00A54A51">
        <w:t xml:space="preserve">is one </w:t>
      </w:r>
      <w:r>
        <w:t xml:space="preserve">from content and service </w:t>
      </w:r>
      <w:r w:rsidR="00A54A51">
        <w:t xml:space="preserve">delivery </w:t>
      </w:r>
      <w:r>
        <w:t>as an overlay on a shared common network platform to content and services environments being tightly bound to a dedicated network infrastructure.</w:t>
      </w:r>
      <w:r w:rsidR="009074F8">
        <w:t xml:space="preserve"> </w:t>
      </w:r>
    </w:p>
    <w:p w14:paraId="426CF8DB" w14:textId="6993CE7C" w:rsidR="0010073E" w:rsidRDefault="0010073E" w:rsidP="00CC127A"/>
    <w:p w14:paraId="02D0CB98" w14:textId="56516E5E" w:rsidR="00CC127A" w:rsidRDefault="009074F8" w:rsidP="009074F8">
      <w:r>
        <w:t xml:space="preserve">If we take some of the </w:t>
      </w:r>
      <w:r w:rsidR="00642635">
        <w:t xml:space="preserve">detail </w:t>
      </w:r>
      <w:r w:rsidR="00A54A51">
        <w:t>from</w:t>
      </w:r>
      <w:r w:rsidR="00642635">
        <w:t xml:space="preserve"> </w:t>
      </w:r>
      <w:hyperlink r:id="rId12" w:history="1">
        <w:r w:rsidRPr="009074F8">
          <w:rPr>
            <w:rStyle w:val="Hyperlink"/>
          </w:rPr>
          <w:t>capacity reports</w:t>
        </w:r>
      </w:hyperlink>
      <w:r>
        <w:t xml:space="preserve"> </w:t>
      </w:r>
      <w:r w:rsidR="00642635">
        <w:t>that</w:t>
      </w:r>
      <w:r>
        <w:t xml:space="preserve"> </w:t>
      </w:r>
      <w:proofErr w:type="spellStart"/>
      <w:r>
        <w:t>Telegeography</w:t>
      </w:r>
      <w:proofErr w:type="spellEnd"/>
      <w:r>
        <w:t xml:space="preserve"> </w:t>
      </w:r>
      <w:r w:rsidR="00FE3742">
        <w:t>has made to</w:t>
      </w:r>
      <w:r>
        <w:t xml:space="preserve"> industry</w:t>
      </w:r>
      <w:r w:rsidR="00FE3742">
        <w:t xml:space="preserve"> forums,</w:t>
      </w:r>
      <w:r>
        <w:t xml:space="preserve"> this trend is clearly visible. They’ve reported that i</w:t>
      </w:r>
      <w:r w:rsidR="00CC127A">
        <w:t xml:space="preserve">n 2006 some 80% of international capacity was </w:t>
      </w:r>
      <w:r>
        <w:t xml:space="preserve">shared common </w:t>
      </w:r>
      <w:r w:rsidR="00CC127A">
        <w:t>IP transit</w:t>
      </w:r>
      <w:r>
        <w:t xml:space="preserve"> capacity, while </w:t>
      </w:r>
      <w:r w:rsidR="00CC127A">
        <w:t xml:space="preserve">by 2018 </w:t>
      </w:r>
      <w:r>
        <w:t xml:space="preserve">this proportion was down to </w:t>
      </w:r>
      <w:r w:rsidR="00CC127A">
        <w:t xml:space="preserve">40% </w:t>
      </w:r>
      <w:r>
        <w:t xml:space="preserve">of total international capacity. At the same time </w:t>
      </w:r>
      <w:r w:rsidR="00CC127A">
        <w:t>content providers</w:t>
      </w:r>
      <w:r>
        <w:t>’</w:t>
      </w:r>
      <w:r w:rsidR="00CC127A">
        <w:t xml:space="preserve"> </w:t>
      </w:r>
      <w:r>
        <w:t xml:space="preserve">dedicated capacity inventory </w:t>
      </w:r>
      <w:r w:rsidR="00CC127A">
        <w:t>account for 54% of all international capacity</w:t>
      </w:r>
      <w:r>
        <w:t xml:space="preserve"> by the end of 2018</w:t>
      </w:r>
      <w:r w:rsidR="00CC127A">
        <w:t xml:space="preserve">. This </w:t>
      </w:r>
      <w:r>
        <w:t xml:space="preserve">shift </w:t>
      </w:r>
      <w:r w:rsidR="00CC127A">
        <w:t>is most evident in the trans</w:t>
      </w:r>
      <w:r>
        <w:t>-</w:t>
      </w:r>
      <w:r w:rsidR="00CC127A">
        <w:t>Atlantic</w:t>
      </w:r>
      <w:r>
        <w:t xml:space="preserve">, </w:t>
      </w:r>
      <w:r w:rsidR="00CC127A">
        <w:t>trans-Pacific</w:t>
      </w:r>
      <w:r>
        <w:t xml:space="preserve"> </w:t>
      </w:r>
      <w:r w:rsidR="00CC127A">
        <w:t xml:space="preserve">and intra-Asia </w:t>
      </w:r>
      <w:r>
        <w:t xml:space="preserve">markets. </w:t>
      </w:r>
      <w:r w:rsidR="00CC127A">
        <w:t>Further decline in the transit market and a</w:t>
      </w:r>
      <w:r>
        <w:t>n associated</w:t>
      </w:r>
      <w:r w:rsidR="00CC127A">
        <w:t xml:space="preserve"> shift to </w:t>
      </w:r>
      <w:r>
        <w:t xml:space="preserve">cloud and content distribution services </w:t>
      </w:r>
      <w:r w:rsidR="00CC127A">
        <w:t>is expected in the coming years.</w:t>
      </w:r>
    </w:p>
    <w:p w14:paraId="1F1F350D" w14:textId="77777777" w:rsidR="00CC127A" w:rsidRDefault="00CC127A" w:rsidP="00CC127A"/>
    <w:p w14:paraId="0B42FB5C" w14:textId="74986C78" w:rsidR="00CC127A" w:rsidRDefault="00A54A51" w:rsidP="00A54A51">
      <w:r w:rsidRPr="00A54A51">
        <w:t>It is also interesting to observe the decline in the role of North America as the major hub for interregional traffic. Some 97% of inter-regional capacity had a North American end point in 2004, and this has declined to some 80% of capacity using North America in 2018. In its place, Europe has grown as a hub, with inter-regional capacity that uses Europe servicing capacity to Asia, the Middle East and Africa.</w:t>
      </w:r>
      <w:r w:rsidR="00CC127A">
        <w:t xml:space="preserve"> Th</w:t>
      </w:r>
      <w:r>
        <w:t>e overall</w:t>
      </w:r>
      <w:r w:rsidR="00CC127A">
        <w:t xml:space="preserve"> picture </w:t>
      </w:r>
      <w:r w:rsidR="0072032F">
        <w:t xml:space="preserve">of the western hemisphere being the hub for much of the international capacity inventory </w:t>
      </w:r>
      <w:r w:rsidR="00CC127A">
        <w:t>is unlikely to change</w:t>
      </w:r>
      <w:r w:rsidR="0072032F">
        <w:t xml:space="preserve"> </w:t>
      </w:r>
      <w:r w:rsidR="00CC127A">
        <w:t xml:space="preserve">dramatically </w:t>
      </w:r>
      <w:r w:rsidR="00FE3742">
        <w:t>in the near-term to mid-term future. W</w:t>
      </w:r>
      <w:r w:rsidR="0072032F">
        <w:t xml:space="preserve">hile </w:t>
      </w:r>
      <w:r w:rsidR="00CC127A">
        <w:t xml:space="preserve">seafloor-based capacity in the Atlantic and the Pacific might involve longer paths than </w:t>
      </w:r>
      <w:r w:rsidR="00884CF0">
        <w:t xml:space="preserve">some </w:t>
      </w:r>
      <w:r w:rsidR="00CC127A">
        <w:t>Indian Ocean/Mediterranean routes, the</w:t>
      </w:r>
      <w:r w:rsidR="00884CF0">
        <w:t>se extended paths</w:t>
      </w:r>
      <w:r w:rsidR="00CC127A">
        <w:t xml:space="preserve"> represent a far lower political risk.</w:t>
      </w:r>
    </w:p>
    <w:p w14:paraId="23B1B56A" w14:textId="77777777" w:rsidR="00CC127A" w:rsidRDefault="00CC127A" w:rsidP="00CC127A"/>
    <w:p w14:paraId="738977CD" w14:textId="4DDBC840" w:rsidR="00CC127A" w:rsidRDefault="0072032F" w:rsidP="00CC127A">
      <w:r>
        <w:t xml:space="preserve">Perhaps the most significant aspect of this content and cloud capacity which impacts </w:t>
      </w:r>
      <w:r w:rsidR="00884CF0">
        <w:t xml:space="preserve">on </w:t>
      </w:r>
      <w:r>
        <w:t xml:space="preserve">the </w:t>
      </w:r>
      <w:r w:rsidR="00884CF0">
        <w:t xml:space="preserve">historical </w:t>
      </w:r>
      <w:r>
        <w:t xml:space="preserve">telco model is a </w:t>
      </w:r>
      <w:r w:rsidR="00CC127A" w:rsidRPr="00FE3742">
        <w:rPr>
          <w:i/>
          <w:iCs/>
        </w:rPr>
        <w:t>no sharin</w:t>
      </w:r>
      <w:r w:rsidRPr="00FE3742">
        <w:rPr>
          <w:i/>
          <w:iCs/>
        </w:rPr>
        <w:t>g</w:t>
      </w:r>
      <w:r>
        <w:t xml:space="preserve"> </w:t>
      </w:r>
      <w:r w:rsidR="00884CF0">
        <w:t>regime</w:t>
      </w:r>
      <w:r>
        <w:t>.</w:t>
      </w:r>
      <w:r w:rsidR="00CC127A">
        <w:t xml:space="preserve"> </w:t>
      </w:r>
      <w:r>
        <w:t>Cloud and c</w:t>
      </w:r>
      <w:r w:rsidR="00CC127A">
        <w:t>ontent provider</w:t>
      </w:r>
      <w:r>
        <w:t>s</w:t>
      </w:r>
      <w:r w:rsidR="00CC127A">
        <w:t xml:space="preserve"> </w:t>
      </w:r>
      <w:r>
        <w:t>have express</w:t>
      </w:r>
      <w:r w:rsidR="00FE3742">
        <w:t>ed</w:t>
      </w:r>
      <w:r>
        <w:t xml:space="preserve"> a strong preference for </w:t>
      </w:r>
      <w:r w:rsidR="00CC127A">
        <w:t>direct purchase of entire cable systems</w:t>
      </w:r>
      <w:r>
        <w:t xml:space="preserve">, or a dedicated fibre pair as a minimum level of capacity provisioning. </w:t>
      </w:r>
      <w:r w:rsidR="00FE3742">
        <w:t>This reduces unwelcome third-party dependencies and creates higher levels of assurance in meeting service and capacity evolution. While</w:t>
      </w:r>
      <w:r>
        <w:t xml:space="preserve"> dedicated capacity </w:t>
      </w:r>
      <w:r w:rsidR="00FE3742">
        <w:t xml:space="preserve">measures </w:t>
      </w:r>
      <w:r w:rsidR="00CC127A">
        <w:t>w</w:t>
      </w:r>
      <w:r w:rsidR="00FE3742">
        <w:t>ere</w:t>
      </w:r>
      <w:r w:rsidR="00CC127A">
        <w:t xml:space="preserve"> negligible in 2013, the intervening period </w:t>
      </w:r>
      <w:r w:rsidR="00FE3742">
        <w:t>ha</w:t>
      </w:r>
      <w:r w:rsidR="00884CF0">
        <w:t>s</w:t>
      </w:r>
      <w:r w:rsidR="00FE3742">
        <w:t xml:space="preserve"> seen </w:t>
      </w:r>
      <w:r w:rsidR="00CC127A">
        <w:t xml:space="preserve">these </w:t>
      </w:r>
      <w:r>
        <w:t xml:space="preserve">cloud and </w:t>
      </w:r>
      <w:r w:rsidR="00CC127A">
        <w:t xml:space="preserve">content providers </w:t>
      </w:r>
      <w:r w:rsidR="00FE3742">
        <w:t>making</w:t>
      </w:r>
      <w:r w:rsidR="00CC127A">
        <w:t xml:space="preserve"> </w:t>
      </w:r>
      <w:r>
        <w:t xml:space="preserve">subsequent </w:t>
      </w:r>
      <w:r w:rsidR="00CC127A">
        <w:t xml:space="preserve">investments in </w:t>
      </w:r>
      <w:r w:rsidR="00FE3742">
        <w:t xml:space="preserve">international </w:t>
      </w:r>
      <w:r w:rsidR="00CC127A">
        <w:t>cable system</w:t>
      </w:r>
      <w:r w:rsidR="00FE3742">
        <w:t>s</w:t>
      </w:r>
      <w:r w:rsidR="00CC127A">
        <w:t xml:space="preserve"> </w:t>
      </w:r>
      <w:r>
        <w:t xml:space="preserve">that have resulted in </w:t>
      </w:r>
      <w:r w:rsidR="00CC127A">
        <w:t xml:space="preserve">wholly content-owned capacity </w:t>
      </w:r>
      <w:r>
        <w:t>representing</w:t>
      </w:r>
      <w:r w:rsidR="00CC127A">
        <w:t xml:space="preserve"> 80% of the entire </w:t>
      </w:r>
      <w:r>
        <w:t xml:space="preserve">trans-Atlantic </w:t>
      </w:r>
      <w:r w:rsidR="00CC127A">
        <w:t>capacity, 50% of the trans-</w:t>
      </w:r>
      <w:r w:rsidR="00CC127A">
        <w:lastRenderedPageBreak/>
        <w:t xml:space="preserve">Pacific capacity and 25% of the Latin American </w:t>
      </w:r>
      <w:r>
        <w:t>c</w:t>
      </w:r>
      <w:r w:rsidR="00CC127A">
        <w:t>apacity</w:t>
      </w:r>
      <w:r w:rsidR="00FE3742">
        <w:t xml:space="preserve"> by the end of 2018</w:t>
      </w:r>
      <w:r w:rsidR="00CC127A">
        <w:t>. Perhaps the critical issue here is th</w:t>
      </w:r>
      <w:r>
        <w:t xml:space="preserve">at these cloud and </w:t>
      </w:r>
      <w:r w:rsidR="00CC127A">
        <w:t xml:space="preserve">content providers appear </w:t>
      </w:r>
      <w:r>
        <w:t xml:space="preserve">to </w:t>
      </w:r>
      <w:r w:rsidR="00CC127A">
        <w:t>eschew more intimate</w:t>
      </w:r>
      <w:r>
        <w:t xml:space="preserve"> </w:t>
      </w:r>
      <w:r w:rsidR="00CC127A">
        <w:t>capacity sharing solutions</w:t>
      </w:r>
      <w:r>
        <w:t>,</w:t>
      </w:r>
      <w:r w:rsidR="00CC127A">
        <w:t xml:space="preserve"> including wavelength</w:t>
      </w:r>
      <w:r>
        <w:t>-based segmentation</w:t>
      </w:r>
      <w:r w:rsidR="00CC127A">
        <w:t>.</w:t>
      </w:r>
      <w:r>
        <w:t xml:space="preserve"> In trying to assess how far this dedicated capacity market segment will grow, t</w:t>
      </w:r>
      <w:r w:rsidR="00CC127A">
        <w:t>he capacity predictions are somewhat clouded here</w:t>
      </w:r>
      <w:r>
        <w:t xml:space="preserve">. Part of the reason for this uncertainty is that </w:t>
      </w:r>
      <w:r w:rsidR="00CC127A">
        <w:t xml:space="preserve">this is no longer based on the old model of the Internet transit's </w:t>
      </w:r>
      <w:r w:rsidR="00CC127A" w:rsidRPr="0072032F">
        <w:rPr>
          <w:i/>
          <w:iCs/>
        </w:rPr>
        <w:t>just in time</w:t>
      </w:r>
      <w:r w:rsidR="00CC127A">
        <w:t xml:space="preserve"> demand</w:t>
      </w:r>
      <w:r w:rsidR="00884CF0">
        <w:t>-</w:t>
      </w:r>
      <w:r w:rsidR="00CC127A">
        <w:t xml:space="preserve">pull model of content delivery to clients, but one that uses a CDN's cache pre-provisioning model of </w:t>
      </w:r>
      <w:r w:rsidR="00CC127A" w:rsidRPr="0072032F">
        <w:rPr>
          <w:i/>
          <w:iCs/>
        </w:rPr>
        <w:t>just in case</w:t>
      </w:r>
      <w:r w:rsidR="00CC127A">
        <w:t xml:space="preserve"> push distribution of content. The </w:t>
      </w:r>
      <w:r>
        <w:t>larger</w:t>
      </w:r>
      <w:r w:rsidR="00CC127A">
        <w:t xml:space="preserve"> the content volume being managed in this matter, and the greater the number of client access points (CDN data centres) the higher the demand for internal capacity to meet these content </w:t>
      </w:r>
      <w:r>
        <w:t xml:space="preserve">flooding </w:t>
      </w:r>
      <w:r w:rsidR="00CC127A">
        <w:t>demands.</w:t>
      </w:r>
    </w:p>
    <w:p w14:paraId="7BC5DA92" w14:textId="77777777" w:rsidR="00CC127A" w:rsidRDefault="00CC127A" w:rsidP="00CC127A"/>
    <w:p w14:paraId="2DA87EED" w14:textId="6AADAAA4" w:rsidR="00CA0BED" w:rsidRPr="00CC127A" w:rsidRDefault="00CC127A" w:rsidP="00CC127A">
      <w:pPr>
        <w:rPr>
          <w:vertAlign w:val="subscript"/>
        </w:rPr>
      </w:pPr>
      <w:r>
        <w:t>But while these demands can be extrapolated to very high numbers, it should be stressed that the CDN industry is currently highly resourced, and while private capacity can be seen as an expensive luxury, it</w:t>
      </w:r>
      <w:r w:rsidR="0072032F">
        <w:t>’</w:t>
      </w:r>
      <w:r>
        <w:t>s a luxury that the content industry can currently afford</w:t>
      </w:r>
      <w:r w:rsidR="0072032F">
        <w:t xml:space="preserve">. This </w:t>
      </w:r>
      <w:r>
        <w:t xml:space="preserve">edges out the more traditional capacity sharing broker, </w:t>
      </w:r>
      <w:r w:rsidR="0072032F">
        <w:t xml:space="preserve">which is the </w:t>
      </w:r>
      <w:r>
        <w:t xml:space="preserve">telco </w:t>
      </w:r>
      <w:r w:rsidR="0072032F">
        <w:t xml:space="preserve">wholesale </w:t>
      </w:r>
      <w:r>
        <w:t>carrier</w:t>
      </w:r>
      <w:r w:rsidR="0072032F">
        <w:t xml:space="preserve"> business model</w:t>
      </w:r>
      <w:r>
        <w:t>.</w:t>
      </w:r>
    </w:p>
    <w:p w14:paraId="10A6D1A2" w14:textId="3F088714" w:rsidR="0010073E" w:rsidRDefault="0010073E" w:rsidP="0010073E"/>
    <w:p w14:paraId="796379A9" w14:textId="3BB26191" w:rsidR="00302666" w:rsidRDefault="00642635" w:rsidP="0010073E">
      <w:r>
        <w:t xml:space="preserve">There was a time, and it was not so long ago, that the </w:t>
      </w:r>
      <w:proofErr w:type="spellStart"/>
      <w:r>
        <w:t>telcos</w:t>
      </w:r>
      <w:proofErr w:type="spellEnd"/>
      <w:r>
        <w:t xml:space="preserve"> dominated the communications sector. In many national environments they were the largest employer, the larges</w:t>
      </w:r>
      <w:r w:rsidR="00884CF0">
        <w:t>t revenue earner</w:t>
      </w:r>
      <w:r>
        <w:t xml:space="preserve">, even the largest credit provider. Their position as a domestic monopoly created a secure revenue base that was immune from competitive pressures and the privileged position was all but unassailable. Deregulation </w:t>
      </w:r>
      <w:proofErr w:type="gramStart"/>
      <w:r>
        <w:t>opened up</w:t>
      </w:r>
      <w:proofErr w:type="gramEnd"/>
      <w:r>
        <w:t xml:space="preserve"> this sector to initial waves of like-for-like competition, but this has been quickly followed by </w:t>
      </w:r>
      <w:r w:rsidR="00884CF0">
        <w:t xml:space="preserve">a </w:t>
      </w:r>
      <w:r>
        <w:t>new wave of substitution competition where the rise of Internet-based services has shifted the nexus of value generation from carriage to content and service. The result was initially the commoditisation of the shared public carriage role, but the process of time and the successive improvements of the digital capacity of physical transmission systems</w:t>
      </w:r>
      <w:r w:rsidR="00302666">
        <w:t xml:space="preserve"> has meant that dedicated transmission systems are now accessible to the large cloud and content providers</w:t>
      </w:r>
      <w:r w:rsidR="00F716A5">
        <w:t xml:space="preserve"> and shared carriage systems </w:t>
      </w:r>
      <w:r w:rsidR="00884CF0">
        <w:t>have</w:t>
      </w:r>
      <w:r w:rsidR="00F716A5">
        <w:t xml:space="preserve"> become a niche activity rather than the mainstream of the carriage sector</w:t>
      </w:r>
      <w:r w:rsidR="00302666">
        <w:t xml:space="preserve">. </w:t>
      </w:r>
    </w:p>
    <w:p w14:paraId="2CE27D93" w14:textId="77777777" w:rsidR="00302666" w:rsidRDefault="00302666" w:rsidP="0010073E"/>
    <w:p w14:paraId="4532CE9A" w14:textId="7CE45EA4" w:rsidR="00642635" w:rsidRDefault="00302666" w:rsidP="0010073E">
      <w:r>
        <w:t>With this trend we see the continual erosion of the residual value of shared common carriage systems. For the wholesale telco carriage provider th</w:t>
      </w:r>
      <w:r w:rsidR="00F716A5">
        <w:t>is story of inexorable decline</w:t>
      </w:r>
      <w:r>
        <w:t xml:space="preserve"> not exactly good news.</w:t>
      </w:r>
      <w:r w:rsidR="00F716A5">
        <w:t xml:space="preserve"> No wonder some of them are bailing out!</w:t>
      </w:r>
    </w:p>
    <w:p w14:paraId="01404862" w14:textId="77777777" w:rsidR="00A537EF" w:rsidRDefault="00A537EF">
      <w:pPr>
        <w:jc w:val="left"/>
      </w:pPr>
    </w:p>
    <w:p w14:paraId="3D512828" w14:textId="249F1A4E" w:rsidR="00F026F7" w:rsidRDefault="00A537EF" w:rsidP="00A537EF">
      <w:pPr>
        <w:pStyle w:val="Sidebar"/>
      </w:pPr>
      <w:r>
        <w:t xml:space="preserve">I simply cannot let the title of this article pass without at least a passing mention to that epic work by the English historian Edward Gibbon. </w:t>
      </w:r>
      <w:r w:rsidRPr="006C2026">
        <w:rPr>
          <w:b/>
          <w:bCs/>
        </w:rPr>
        <w:t>The History of the Decline and Fall of the Roman Empire</w:t>
      </w:r>
      <w:r>
        <w:t xml:space="preserve"> is a six-volume epic, published between 1776 and 1789</w:t>
      </w:r>
      <w:r w:rsidR="006C2026">
        <w:t>, still in print today</w:t>
      </w:r>
      <w:r>
        <w:t xml:space="preserve">. </w:t>
      </w:r>
      <w:r w:rsidR="00C65F08">
        <w:t xml:space="preserve">To quote from this work: </w:t>
      </w:r>
      <w:r w:rsidR="00F026F7">
        <w:t>“</w:t>
      </w:r>
      <w:r w:rsidR="00F026F7" w:rsidRPr="00F026F7">
        <w:t>The story of its ruin is simple and obvious; and, instead of inquiring why the Roman empire was destroyed, we should rather be surprised that it had subsisted so long.</w:t>
      </w:r>
      <w:r w:rsidR="00F026F7">
        <w:t xml:space="preserve">” </w:t>
      </w:r>
    </w:p>
    <w:p w14:paraId="0326F1ED" w14:textId="77777777" w:rsidR="00F026F7" w:rsidRDefault="00F026F7" w:rsidP="00A537EF">
      <w:pPr>
        <w:pStyle w:val="Sidebar"/>
      </w:pPr>
    </w:p>
    <w:p w14:paraId="223E8577" w14:textId="30442028" w:rsidR="00F026F7" w:rsidRDefault="00F026F7" w:rsidP="00A537EF">
      <w:pPr>
        <w:pStyle w:val="Sidebar"/>
      </w:pPr>
      <w:r>
        <w:rPr>
          <w:noProof/>
        </w:rPr>
        <w:drawing>
          <wp:inline distT="0" distB="0" distL="0" distR="0" wp14:anchorId="537D3475" wp14:editId="6ACB51AF">
            <wp:extent cx="1308249" cy="1973520"/>
            <wp:effectExtent l="0" t="0" r="0" b="0"/>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13"/>
                    <a:stretch>
                      <a:fillRect/>
                    </a:stretch>
                  </pic:blipFill>
                  <pic:spPr>
                    <a:xfrm>
                      <a:off x="0" y="0"/>
                      <a:ext cx="1341589" cy="2023814"/>
                    </a:xfrm>
                    <a:prstGeom prst="rect">
                      <a:avLst/>
                    </a:prstGeom>
                  </pic:spPr>
                </pic:pic>
              </a:graphicData>
            </a:graphic>
          </wp:inline>
        </w:drawing>
      </w:r>
      <w:r>
        <w:t xml:space="preserve">   </w:t>
      </w:r>
      <w:r w:rsidR="00C65F08">
        <w:t xml:space="preserve">        </w:t>
      </w:r>
      <w:r>
        <w:t xml:space="preserve"> </w:t>
      </w:r>
      <w:r w:rsidR="00C65F08">
        <w:rPr>
          <w:noProof/>
        </w:rPr>
        <w:drawing>
          <wp:inline distT="0" distB="0" distL="0" distR="0" wp14:anchorId="623B617A" wp14:editId="6B153496">
            <wp:extent cx="2707386" cy="1376241"/>
            <wp:effectExtent l="0" t="0" r="0" b="0"/>
            <wp:docPr id="6" name="Picture 6" descr="A picture containing building, old, stone, a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building, old, stone, arch&#10;&#10;Description automatically generated"/>
                    <pic:cNvPicPr/>
                  </pic:nvPicPr>
                  <pic:blipFill>
                    <a:blip r:embed="rId14"/>
                    <a:stretch>
                      <a:fillRect/>
                    </a:stretch>
                  </pic:blipFill>
                  <pic:spPr>
                    <a:xfrm>
                      <a:off x="0" y="0"/>
                      <a:ext cx="2743531" cy="1394615"/>
                    </a:xfrm>
                    <a:prstGeom prst="rect">
                      <a:avLst/>
                    </a:prstGeom>
                  </pic:spPr>
                </pic:pic>
              </a:graphicData>
            </a:graphic>
          </wp:inline>
        </w:drawing>
      </w:r>
    </w:p>
    <w:p w14:paraId="2953AB76" w14:textId="1C971B07" w:rsidR="00F026F7" w:rsidRDefault="00F026F7" w:rsidP="00F026F7"/>
    <w:p w14:paraId="6BF4AE43" w14:textId="77777777" w:rsidR="00F026F7" w:rsidRDefault="00F026F7" w:rsidP="00F026F7"/>
    <w:p w14:paraId="655ECC7C" w14:textId="6D7E52E1" w:rsidR="00CA0BED" w:rsidRDefault="00CA0BED" w:rsidP="00F026F7">
      <w:r>
        <w:br w:type="page"/>
      </w:r>
    </w:p>
    <w:p w14:paraId="0FAA166B" w14:textId="77777777" w:rsidR="00DF61A8" w:rsidRPr="006450B3" w:rsidRDefault="00DF61A8" w:rsidP="00F026F7"/>
    <w:p w14:paraId="2D5EBD3A" w14:textId="268E3808" w:rsidR="00881606" w:rsidRPr="006854D1" w:rsidRDefault="00881606" w:rsidP="00EF0950"/>
    <w:p w14:paraId="39085C34" w14:textId="77777777" w:rsidR="00881606" w:rsidRPr="006854D1" w:rsidRDefault="00881606" w:rsidP="00EF0950"/>
    <w:p w14:paraId="4AEC3AEB" w14:textId="77777777" w:rsidR="0059665F" w:rsidRPr="001C0364" w:rsidRDefault="007807D7" w:rsidP="0059665F">
      <w:pPr>
        <w:pStyle w:val="Heading3"/>
      </w:pPr>
      <w:r>
        <w:rPr>
          <w:noProof/>
        </w:rPr>
        <w:pict w14:anchorId="018CB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50pt;height:7.5pt;mso-width-percent:0;mso-height-percent:0;mso-width-percent:0;mso-height-percent:0" o:hrpct="0" o:hralign="center" o:hr="t">
            <v:imagedata r:id="rId15" o:title=""/>
          </v:shape>
        </w:pict>
      </w:r>
    </w:p>
    <w:p w14:paraId="639D1FC3" w14:textId="77777777" w:rsidR="0059665F" w:rsidRPr="001C0364" w:rsidRDefault="0059665F" w:rsidP="0059665F">
      <w:pPr>
        <w:pStyle w:val="Heading3"/>
      </w:pPr>
      <w:r w:rsidRPr="001C0364">
        <w:t>Disclaimer</w:t>
      </w:r>
    </w:p>
    <w:p w14:paraId="1DD8663E" w14:textId="77777777" w:rsidR="0059665F" w:rsidRDefault="0059665F" w:rsidP="0059665F"/>
    <w:p w14:paraId="11D7094E" w14:textId="77777777" w:rsidR="0059665F" w:rsidRPr="001C0364" w:rsidRDefault="0059665F" w:rsidP="0059665F">
      <w:r w:rsidRPr="001C0364">
        <w:t>The above views do not necessarily represent the views or positions of the Asia Pacific Network Information Centre.</w:t>
      </w:r>
    </w:p>
    <w:p w14:paraId="6711112D" w14:textId="77777777" w:rsidR="00DA745D" w:rsidRPr="006854D1" w:rsidRDefault="00DA745D" w:rsidP="00DA745D"/>
    <w:p w14:paraId="52ACC158" w14:textId="090030F8" w:rsidR="0072473F" w:rsidRPr="006854D1" w:rsidRDefault="007807D7" w:rsidP="002F5D88">
      <w:pPr>
        <w:pStyle w:val="Heading2"/>
      </w:pPr>
      <w:r>
        <w:rPr>
          <w:noProof/>
        </w:rPr>
        <w:pict w14:anchorId="7EE00646">
          <v:shape id="_x0000_i1025" type="#_x0000_t75" alt="" style="width:450pt;height:7.5pt;mso-width-percent:0;mso-height-percent:0;mso-width-percent:0;mso-height-percent:0" o:hrpct="0" o:hralign="center" o:hr="t">
            <v:imagedata r:id="rId15" o:title=""/>
          </v:shape>
        </w:pict>
      </w:r>
    </w:p>
    <w:p w14:paraId="4882321F" w14:textId="77777777" w:rsidR="0072473F" w:rsidRPr="006854D1" w:rsidRDefault="0072473F" w:rsidP="002F5D88">
      <w:pPr>
        <w:pStyle w:val="Heading3"/>
      </w:pPr>
      <w:r w:rsidRPr="006854D1">
        <w:t>Author</w:t>
      </w:r>
    </w:p>
    <w:p w14:paraId="38326C10" w14:textId="77777777" w:rsidR="00E7467B" w:rsidRPr="006854D1" w:rsidRDefault="00E7467B" w:rsidP="00E472BF">
      <w:pPr>
        <w:rPr>
          <w:i/>
        </w:rPr>
      </w:pPr>
    </w:p>
    <w:p w14:paraId="45C9B158" w14:textId="77777777" w:rsidR="0072473F" w:rsidRPr="006854D1" w:rsidRDefault="0072473F" w:rsidP="00E472BF">
      <w:r w:rsidRPr="006854D1">
        <w:rPr>
          <w:i/>
        </w:rPr>
        <w:t>Geoff Huston</w:t>
      </w:r>
      <w:r w:rsidRPr="006854D1">
        <w:t xml:space="preserve"> B.Sc., M.Sc., is the Chief Scientist at APNIC, the Regional Internet Registry serving the Asia Pacific region. </w:t>
      </w:r>
    </w:p>
    <w:p w14:paraId="48F9B932" w14:textId="77777777" w:rsidR="00E472BF" w:rsidRPr="006854D1" w:rsidRDefault="00E472BF" w:rsidP="00E472BF"/>
    <w:p w14:paraId="65A54DE4" w14:textId="77777777" w:rsidR="0072473F" w:rsidRPr="006854D1" w:rsidRDefault="007807D7" w:rsidP="0072473F">
      <w:pPr>
        <w:rPr>
          <w:rFonts w:cs="Lucida Grande"/>
          <w:i/>
          <w:iCs/>
          <w:color w:val="262626"/>
          <w:szCs w:val="20"/>
        </w:rPr>
      </w:pPr>
      <w:hyperlink r:id="rId16" w:history="1">
        <w:r w:rsidR="0072473F" w:rsidRPr="006854D1">
          <w:rPr>
            <w:rStyle w:val="Hyperlink"/>
            <w:rFonts w:cs="Lucida Grande"/>
            <w:i/>
            <w:iCs/>
            <w:szCs w:val="20"/>
          </w:rPr>
          <w:t>www.potaroo.net</w:t>
        </w:r>
      </w:hyperlink>
    </w:p>
    <w:p w14:paraId="11AA0444" w14:textId="77777777" w:rsidR="0072473F" w:rsidRPr="006854D1" w:rsidRDefault="0072473F" w:rsidP="0072473F">
      <w:pPr>
        <w:widowControl w:val="0"/>
        <w:autoSpaceDE w:val="0"/>
        <w:autoSpaceDN w:val="0"/>
        <w:adjustRightInd w:val="0"/>
        <w:rPr>
          <w:rFonts w:cs="Helvetica"/>
          <w:iCs/>
        </w:rPr>
      </w:pPr>
    </w:p>
    <w:p w14:paraId="42724F6A" w14:textId="77777777" w:rsidR="00124027" w:rsidRPr="006854D1" w:rsidRDefault="00124027" w:rsidP="00E47CB4">
      <w:pPr>
        <w:rPr>
          <w:rFonts w:ascii="Courier" w:hAnsi="Courier" w:cs="Monaco"/>
          <w:sz w:val="18"/>
          <w:szCs w:val="18"/>
        </w:rPr>
      </w:pPr>
    </w:p>
    <w:p w14:paraId="693C320A" w14:textId="77777777" w:rsidR="00E02D61" w:rsidRPr="006854D1" w:rsidRDefault="00E02D61">
      <w:pPr>
        <w:rPr>
          <w:rFonts w:ascii="Courier" w:hAnsi="Courier" w:cs="Monaco"/>
          <w:sz w:val="18"/>
          <w:szCs w:val="18"/>
        </w:rPr>
      </w:pPr>
    </w:p>
    <w:p w14:paraId="608CD6F3" w14:textId="77777777" w:rsidR="00A537EF" w:rsidRPr="006854D1" w:rsidRDefault="00A537EF">
      <w:pPr>
        <w:rPr>
          <w:rFonts w:ascii="Courier" w:hAnsi="Courier" w:cs="Monaco"/>
          <w:sz w:val="18"/>
          <w:szCs w:val="18"/>
        </w:rPr>
      </w:pPr>
    </w:p>
    <w:sectPr w:rsidR="00A537EF" w:rsidRPr="006854D1" w:rsidSect="007A3C90">
      <w:footerReference w:type="default" r:id="rId17"/>
      <w:pgSz w:w="11900" w:h="16840"/>
      <w:pgMar w:top="851" w:right="843" w:bottom="851" w:left="851"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4A818" w14:textId="77777777" w:rsidR="007807D7" w:rsidRDefault="007807D7" w:rsidP="008866B3">
      <w:r>
        <w:separator/>
      </w:r>
    </w:p>
  </w:endnote>
  <w:endnote w:type="continuationSeparator" w:id="0">
    <w:p w14:paraId="04F159C2" w14:textId="77777777" w:rsidR="007807D7" w:rsidRDefault="007807D7" w:rsidP="00886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Helvetica">
    <w:panose1 w:val="00000000000000000000"/>
    <w:charset w:val="00"/>
    <w:family w:val="auto"/>
    <w:pitch w:val="variable"/>
    <w:sig w:usb0="E00002FF" w:usb1="5000785B" w:usb2="00000000" w:usb3="00000000" w:csb0="0000019F" w:csb1="00000000"/>
  </w:font>
  <w:font w:name="Monaco">
    <w:altName w:val="﷽﷽﷽﷽﷽﷽﷽﷽lic"/>
    <w:panose1 w:val="00000000000000000000"/>
    <w:charset w:val="4D"/>
    <w:family w:val="auto"/>
    <w:pitch w:val="variable"/>
    <w:sig w:usb0="A00002FF" w:usb1="500039FB" w:usb2="00000000" w:usb3="00000000" w:csb0="00000197"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122FA" w14:textId="77777777" w:rsidR="00B156D9" w:rsidRDefault="00B156D9" w:rsidP="008866B3">
    <w:pPr>
      <w:pStyle w:val="Footer"/>
      <w:pBdr>
        <w:top w:val="single" w:sz="2" w:space="1" w:color="D2CB93"/>
      </w:pBdr>
      <w:tabs>
        <w:tab w:val="clear" w:pos="8640"/>
        <w:tab w:val="right" w:pos="9639"/>
      </w:tabs>
    </w:pPr>
    <w:r>
      <w:rPr>
        <w:lang w:val="en-US"/>
      </w:rPr>
      <w:tab/>
    </w:r>
    <w:r>
      <w:rPr>
        <w:lang w:val="en-US"/>
      </w:rPr>
      <w:tab/>
      <w:t xml:space="preserve">Page </w:t>
    </w:r>
    <w:r>
      <w:rPr>
        <w:lang w:val="en-US"/>
      </w:rPr>
      <w:fldChar w:fldCharType="begin"/>
    </w:r>
    <w:r>
      <w:rPr>
        <w:lang w:val="en-US"/>
      </w:rPr>
      <w:instrText xml:space="preserve"> PAGE </w:instrText>
    </w:r>
    <w:r>
      <w:rPr>
        <w:lang w:val="en-US"/>
      </w:rPr>
      <w:fldChar w:fldCharType="separate"/>
    </w:r>
    <w:r>
      <w:rPr>
        <w:noProof/>
        <w:lang w:val="en-US"/>
      </w:rPr>
      <w:t>19</w:t>
    </w:r>
    <w:r>
      <w:rPr>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190AC" w14:textId="77777777" w:rsidR="007807D7" w:rsidRDefault="007807D7" w:rsidP="008866B3">
      <w:r>
        <w:separator/>
      </w:r>
    </w:p>
  </w:footnote>
  <w:footnote w:type="continuationSeparator" w:id="0">
    <w:p w14:paraId="5729DB94" w14:textId="77777777" w:rsidR="007807D7" w:rsidRDefault="007807D7" w:rsidP="008866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F1A09"/>
    <w:multiLevelType w:val="hybridMultilevel"/>
    <w:tmpl w:val="F8A2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36D66"/>
    <w:multiLevelType w:val="hybridMultilevel"/>
    <w:tmpl w:val="75B4F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FA48E5"/>
    <w:multiLevelType w:val="hybridMultilevel"/>
    <w:tmpl w:val="8EF2777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5054503"/>
    <w:multiLevelType w:val="hybridMultilevel"/>
    <w:tmpl w:val="AF24774C"/>
    <w:lvl w:ilvl="0" w:tplc="00561C44">
      <w:start w:val="2011"/>
      <w:numFmt w:val="bullet"/>
      <w:lvlText w:val=""/>
      <w:lvlJc w:val="left"/>
      <w:pPr>
        <w:ind w:left="1353" w:hanging="360"/>
      </w:pPr>
      <w:rPr>
        <w:rFonts w:ascii="Symbol" w:eastAsia="Cambria" w:hAnsi="Symbol" w:cs="Times New Roman" w:hint="default"/>
      </w:rPr>
    </w:lvl>
    <w:lvl w:ilvl="1" w:tplc="04090003" w:tentative="1">
      <w:start w:val="1"/>
      <w:numFmt w:val="bullet"/>
      <w:lvlText w:val="o"/>
      <w:lvlJc w:val="left"/>
      <w:pPr>
        <w:ind w:left="2073" w:hanging="360"/>
      </w:pPr>
      <w:rPr>
        <w:rFonts w:ascii="Courier New" w:hAnsi="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4" w15:restartNumberingAfterBreak="0">
    <w:nsid w:val="08640D97"/>
    <w:multiLevelType w:val="hybridMultilevel"/>
    <w:tmpl w:val="11425E70"/>
    <w:lvl w:ilvl="0" w:tplc="7026F1A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373407"/>
    <w:multiLevelType w:val="hybridMultilevel"/>
    <w:tmpl w:val="719284FE"/>
    <w:lvl w:ilvl="0" w:tplc="7026F1A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976512"/>
    <w:multiLevelType w:val="hybridMultilevel"/>
    <w:tmpl w:val="48D47700"/>
    <w:lvl w:ilvl="0" w:tplc="0C090017">
      <w:start w:val="1"/>
      <w:numFmt w:val="lowerLetter"/>
      <w:lvlText w:val="%1)"/>
      <w:lvlJc w:val="left"/>
      <w:pPr>
        <w:ind w:left="3617" w:hanging="360"/>
      </w:pPr>
    </w:lvl>
    <w:lvl w:ilvl="1" w:tplc="0C090019" w:tentative="1">
      <w:start w:val="1"/>
      <w:numFmt w:val="lowerLetter"/>
      <w:lvlText w:val="%2."/>
      <w:lvlJc w:val="left"/>
      <w:pPr>
        <w:ind w:left="4337" w:hanging="360"/>
      </w:pPr>
    </w:lvl>
    <w:lvl w:ilvl="2" w:tplc="0C09001B" w:tentative="1">
      <w:start w:val="1"/>
      <w:numFmt w:val="lowerRoman"/>
      <w:lvlText w:val="%3."/>
      <w:lvlJc w:val="right"/>
      <w:pPr>
        <w:ind w:left="5057" w:hanging="180"/>
      </w:pPr>
    </w:lvl>
    <w:lvl w:ilvl="3" w:tplc="0C09000F" w:tentative="1">
      <w:start w:val="1"/>
      <w:numFmt w:val="decimal"/>
      <w:lvlText w:val="%4."/>
      <w:lvlJc w:val="left"/>
      <w:pPr>
        <w:ind w:left="5777" w:hanging="360"/>
      </w:pPr>
    </w:lvl>
    <w:lvl w:ilvl="4" w:tplc="0C090019" w:tentative="1">
      <w:start w:val="1"/>
      <w:numFmt w:val="lowerLetter"/>
      <w:lvlText w:val="%5."/>
      <w:lvlJc w:val="left"/>
      <w:pPr>
        <w:ind w:left="6497" w:hanging="360"/>
      </w:pPr>
    </w:lvl>
    <w:lvl w:ilvl="5" w:tplc="0C09001B" w:tentative="1">
      <w:start w:val="1"/>
      <w:numFmt w:val="lowerRoman"/>
      <w:lvlText w:val="%6."/>
      <w:lvlJc w:val="right"/>
      <w:pPr>
        <w:ind w:left="7217" w:hanging="180"/>
      </w:pPr>
    </w:lvl>
    <w:lvl w:ilvl="6" w:tplc="0C09000F" w:tentative="1">
      <w:start w:val="1"/>
      <w:numFmt w:val="decimal"/>
      <w:lvlText w:val="%7."/>
      <w:lvlJc w:val="left"/>
      <w:pPr>
        <w:ind w:left="7937" w:hanging="360"/>
      </w:pPr>
    </w:lvl>
    <w:lvl w:ilvl="7" w:tplc="0C090019" w:tentative="1">
      <w:start w:val="1"/>
      <w:numFmt w:val="lowerLetter"/>
      <w:lvlText w:val="%8."/>
      <w:lvlJc w:val="left"/>
      <w:pPr>
        <w:ind w:left="8657" w:hanging="360"/>
      </w:pPr>
    </w:lvl>
    <w:lvl w:ilvl="8" w:tplc="0C09001B" w:tentative="1">
      <w:start w:val="1"/>
      <w:numFmt w:val="lowerRoman"/>
      <w:lvlText w:val="%9."/>
      <w:lvlJc w:val="right"/>
      <w:pPr>
        <w:ind w:left="9377" w:hanging="180"/>
      </w:pPr>
    </w:lvl>
  </w:abstractNum>
  <w:abstractNum w:abstractNumId="7" w15:restartNumberingAfterBreak="0">
    <w:nsid w:val="2E441289"/>
    <w:multiLevelType w:val="hybridMultilevel"/>
    <w:tmpl w:val="AA10B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A63E0C"/>
    <w:multiLevelType w:val="hybridMultilevel"/>
    <w:tmpl w:val="6BAE8B60"/>
    <w:lvl w:ilvl="0" w:tplc="9E5E0F2C">
      <w:start w:val="1"/>
      <w:numFmt w:val="lowerLetter"/>
      <w:lvlText w:val="%1)"/>
      <w:lvlJc w:val="left"/>
      <w:pPr>
        <w:ind w:left="3257" w:hanging="360"/>
      </w:pPr>
      <w:rPr>
        <w:rFonts w:hint="default"/>
      </w:rPr>
    </w:lvl>
    <w:lvl w:ilvl="1" w:tplc="0C090019" w:tentative="1">
      <w:start w:val="1"/>
      <w:numFmt w:val="lowerLetter"/>
      <w:lvlText w:val="%2."/>
      <w:lvlJc w:val="left"/>
      <w:pPr>
        <w:ind w:left="3977" w:hanging="360"/>
      </w:pPr>
    </w:lvl>
    <w:lvl w:ilvl="2" w:tplc="0C09001B" w:tentative="1">
      <w:start w:val="1"/>
      <w:numFmt w:val="lowerRoman"/>
      <w:lvlText w:val="%3."/>
      <w:lvlJc w:val="right"/>
      <w:pPr>
        <w:ind w:left="4697" w:hanging="180"/>
      </w:pPr>
    </w:lvl>
    <w:lvl w:ilvl="3" w:tplc="0C09000F" w:tentative="1">
      <w:start w:val="1"/>
      <w:numFmt w:val="decimal"/>
      <w:lvlText w:val="%4."/>
      <w:lvlJc w:val="left"/>
      <w:pPr>
        <w:ind w:left="5417" w:hanging="360"/>
      </w:pPr>
    </w:lvl>
    <w:lvl w:ilvl="4" w:tplc="0C090019" w:tentative="1">
      <w:start w:val="1"/>
      <w:numFmt w:val="lowerLetter"/>
      <w:lvlText w:val="%5."/>
      <w:lvlJc w:val="left"/>
      <w:pPr>
        <w:ind w:left="6137" w:hanging="360"/>
      </w:pPr>
    </w:lvl>
    <w:lvl w:ilvl="5" w:tplc="0C09001B" w:tentative="1">
      <w:start w:val="1"/>
      <w:numFmt w:val="lowerRoman"/>
      <w:lvlText w:val="%6."/>
      <w:lvlJc w:val="right"/>
      <w:pPr>
        <w:ind w:left="6857" w:hanging="180"/>
      </w:pPr>
    </w:lvl>
    <w:lvl w:ilvl="6" w:tplc="0C09000F" w:tentative="1">
      <w:start w:val="1"/>
      <w:numFmt w:val="decimal"/>
      <w:lvlText w:val="%7."/>
      <w:lvlJc w:val="left"/>
      <w:pPr>
        <w:ind w:left="7577" w:hanging="360"/>
      </w:pPr>
    </w:lvl>
    <w:lvl w:ilvl="7" w:tplc="0C090019" w:tentative="1">
      <w:start w:val="1"/>
      <w:numFmt w:val="lowerLetter"/>
      <w:lvlText w:val="%8."/>
      <w:lvlJc w:val="left"/>
      <w:pPr>
        <w:ind w:left="8297" w:hanging="360"/>
      </w:pPr>
    </w:lvl>
    <w:lvl w:ilvl="8" w:tplc="0C09001B" w:tentative="1">
      <w:start w:val="1"/>
      <w:numFmt w:val="lowerRoman"/>
      <w:lvlText w:val="%9."/>
      <w:lvlJc w:val="right"/>
      <w:pPr>
        <w:ind w:left="9017" w:hanging="180"/>
      </w:pPr>
    </w:lvl>
  </w:abstractNum>
  <w:abstractNum w:abstractNumId="9" w15:restartNumberingAfterBreak="0">
    <w:nsid w:val="5C2409D0"/>
    <w:multiLevelType w:val="hybridMultilevel"/>
    <w:tmpl w:val="97340E90"/>
    <w:lvl w:ilvl="0" w:tplc="104CB356">
      <w:start w:val="1"/>
      <w:numFmt w:val="lowerLetter"/>
      <w:lvlText w:val="%1)"/>
      <w:lvlJc w:val="left"/>
      <w:pPr>
        <w:ind w:left="2345" w:hanging="360"/>
      </w:pPr>
      <w:rPr>
        <w:rFonts w:hint="default"/>
      </w:rPr>
    </w:lvl>
    <w:lvl w:ilvl="1" w:tplc="0C090019" w:tentative="1">
      <w:start w:val="1"/>
      <w:numFmt w:val="lowerLetter"/>
      <w:lvlText w:val="%2."/>
      <w:lvlJc w:val="left"/>
      <w:pPr>
        <w:ind w:left="3065" w:hanging="360"/>
      </w:pPr>
    </w:lvl>
    <w:lvl w:ilvl="2" w:tplc="0C09001B" w:tentative="1">
      <w:start w:val="1"/>
      <w:numFmt w:val="lowerRoman"/>
      <w:lvlText w:val="%3."/>
      <w:lvlJc w:val="right"/>
      <w:pPr>
        <w:ind w:left="3785" w:hanging="180"/>
      </w:pPr>
    </w:lvl>
    <w:lvl w:ilvl="3" w:tplc="0C09000F" w:tentative="1">
      <w:start w:val="1"/>
      <w:numFmt w:val="decimal"/>
      <w:lvlText w:val="%4."/>
      <w:lvlJc w:val="left"/>
      <w:pPr>
        <w:ind w:left="4505" w:hanging="360"/>
      </w:pPr>
    </w:lvl>
    <w:lvl w:ilvl="4" w:tplc="0C090019" w:tentative="1">
      <w:start w:val="1"/>
      <w:numFmt w:val="lowerLetter"/>
      <w:lvlText w:val="%5."/>
      <w:lvlJc w:val="left"/>
      <w:pPr>
        <w:ind w:left="5225" w:hanging="360"/>
      </w:pPr>
    </w:lvl>
    <w:lvl w:ilvl="5" w:tplc="0C09001B" w:tentative="1">
      <w:start w:val="1"/>
      <w:numFmt w:val="lowerRoman"/>
      <w:lvlText w:val="%6."/>
      <w:lvlJc w:val="right"/>
      <w:pPr>
        <w:ind w:left="5945" w:hanging="180"/>
      </w:pPr>
    </w:lvl>
    <w:lvl w:ilvl="6" w:tplc="0C09000F" w:tentative="1">
      <w:start w:val="1"/>
      <w:numFmt w:val="decimal"/>
      <w:lvlText w:val="%7."/>
      <w:lvlJc w:val="left"/>
      <w:pPr>
        <w:ind w:left="6665" w:hanging="360"/>
      </w:pPr>
    </w:lvl>
    <w:lvl w:ilvl="7" w:tplc="0C090019" w:tentative="1">
      <w:start w:val="1"/>
      <w:numFmt w:val="lowerLetter"/>
      <w:lvlText w:val="%8."/>
      <w:lvlJc w:val="left"/>
      <w:pPr>
        <w:ind w:left="7385" w:hanging="360"/>
      </w:pPr>
    </w:lvl>
    <w:lvl w:ilvl="8" w:tplc="0C09001B" w:tentative="1">
      <w:start w:val="1"/>
      <w:numFmt w:val="lowerRoman"/>
      <w:lvlText w:val="%9."/>
      <w:lvlJc w:val="right"/>
      <w:pPr>
        <w:ind w:left="8105" w:hanging="180"/>
      </w:pPr>
    </w:lvl>
  </w:abstractNum>
  <w:abstractNum w:abstractNumId="10" w15:restartNumberingAfterBreak="0">
    <w:nsid w:val="65203A85"/>
    <w:multiLevelType w:val="hybridMultilevel"/>
    <w:tmpl w:val="FE583BF8"/>
    <w:lvl w:ilvl="0" w:tplc="55F2ACAE">
      <w:numFmt w:val="bullet"/>
      <w:lvlText w:val="-"/>
      <w:lvlJc w:val="left"/>
      <w:pPr>
        <w:ind w:left="720" w:hanging="360"/>
      </w:pPr>
      <w:rPr>
        <w:rFonts w:ascii="Verdana" w:eastAsia="Cambria"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4B4B7A"/>
    <w:multiLevelType w:val="hybridMultilevel"/>
    <w:tmpl w:val="8E62D36E"/>
    <w:lvl w:ilvl="0" w:tplc="0C090017">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num w:numId="1">
    <w:abstractNumId w:val="1"/>
  </w:num>
  <w:num w:numId="2">
    <w:abstractNumId w:val="0"/>
  </w:num>
  <w:num w:numId="3">
    <w:abstractNumId w:val="7"/>
  </w:num>
  <w:num w:numId="4">
    <w:abstractNumId w:val="10"/>
  </w:num>
  <w:num w:numId="5">
    <w:abstractNumId w:val="3"/>
  </w:num>
  <w:num w:numId="6">
    <w:abstractNumId w:val="11"/>
  </w:num>
  <w:num w:numId="7">
    <w:abstractNumId w:val="6"/>
  </w:num>
  <w:num w:numId="8">
    <w:abstractNumId w:val="2"/>
  </w:num>
  <w:num w:numId="9">
    <w:abstractNumId w:val="8"/>
  </w:num>
  <w:num w:numId="10">
    <w:abstractNumId w:val="9"/>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9"/>
  <w:embedSystemFonts/>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55B"/>
    <w:rsid w:val="000006D5"/>
    <w:rsid w:val="00002906"/>
    <w:rsid w:val="00007F91"/>
    <w:rsid w:val="000104DE"/>
    <w:rsid w:val="00011E58"/>
    <w:rsid w:val="000122D4"/>
    <w:rsid w:val="00013A81"/>
    <w:rsid w:val="00021F91"/>
    <w:rsid w:val="0002322C"/>
    <w:rsid w:val="00023A1E"/>
    <w:rsid w:val="00023EC6"/>
    <w:rsid w:val="00026625"/>
    <w:rsid w:val="0003000D"/>
    <w:rsid w:val="00032A71"/>
    <w:rsid w:val="00036CB3"/>
    <w:rsid w:val="00041AA2"/>
    <w:rsid w:val="000428C1"/>
    <w:rsid w:val="00050914"/>
    <w:rsid w:val="000510C7"/>
    <w:rsid w:val="00052FE5"/>
    <w:rsid w:val="00053877"/>
    <w:rsid w:val="00053E94"/>
    <w:rsid w:val="00061EB1"/>
    <w:rsid w:val="000638A6"/>
    <w:rsid w:val="000650FF"/>
    <w:rsid w:val="000678F2"/>
    <w:rsid w:val="000730E5"/>
    <w:rsid w:val="00076920"/>
    <w:rsid w:val="00082CFD"/>
    <w:rsid w:val="00090922"/>
    <w:rsid w:val="00092213"/>
    <w:rsid w:val="00093DA3"/>
    <w:rsid w:val="00094775"/>
    <w:rsid w:val="00094DBD"/>
    <w:rsid w:val="00096321"/>
    <w:rsid w:val="000963BC"/>
    <w:rsid w:val="000A34A0"/>
    <w:rsid w:val="000A4CA6"/>
    <w:rsid w:val="000A55B4"/>
    <w:rsid w:val="000A739A"/>
    <w:rsid w:val="000B12E5"/>
    <w:rsid w:val="000B2F3E"/>
    <w:rsid w:val="000B5293"/>
    <w:rsid w:val="000B68EF"/>
    <w:rsid w:val="000B7675"/>
    <w:rsid w:val="000B7DA1"/>
    <w:rsid w:val="000C001E"/>
    <w:rsid w:val="000C012E"/>
    <w:rsid w:val="000C303E"/>
    <w:rsid w:val="000C3F48"/>
    <w:rsid w:val="000D063F"/>
    <w:rsid w:val="000D114D"/>
    <w:rsid w:val="000D13CF"/>
    <w:rsid w:val="000D50ED"/>
    <w:rsid w:val="000D6BC7"/>
    <w:rsid w:val="000D7582"/>
    <w:rsid w:val="000D785D"/>
    <w:rsid w:val="000E124C"/>
    <w:rsid w:val="000E4B8E"/>
    <w:rsid w:val="000E55AD"/>
    <w:rsid w:val="000E7CCF"/>
    <w:rsid w:val="000F0A76"/>
    <w:rsid w:val="000F0CC6"/>
    <w:rsid w:val="000F28D0"/>
    <w:rsid w:val="000F3A11"/>
    <w:rsid w:val="000F47A5"/>
    <w:rsid w:val="000F4B27"/>
    <w:rsid w:val="000F5144"/>
    <w:rsid w:val="0010073E"/>
    <w:rsid w:val="001047B5"/>
    <w:rsid w:val="00104AD8"/>
    <w:rsid w:val="001057A0"/>
    <w:rsid w:val="00105B5B"/>
    <w:rsid w:val="00110C0C"/>
    <w:rsid w:val="00110EF8"/>
    <w:rsid w:val="00111662"/>
    <w:rsid w:val="00111A89"/>
    <w:rsid w:val="00111F4B"/>
    <w:rsid w:val="001150EB"/>
    <w:rsid w:val="00122DE4"/>
    <w:rsid w:val="001237AD"/>
    <w:rsid w:val="00124027"/>
    <w:rsid w:val="0012524B"/>
    <w:rsid w:val="00132CE2"/>
    <w:rsid w:val="0013408C"/>
    <w:rsid w:val="00135B49"/>
    <w:rsid w:val="00143EC2"/>
    <w:rsid w:val="00145997"/>
    <w:rsid w:val="00155271"/>
    <w:rsid w:val="00155FC0"/>
    <w:rsid w:val="001562C4"/>
    <w:rsid w:val="00161A9A"/>
    <w:rsid w:val="00161FE0"/>
    <w:rsid w:val="00162B83"/>
    <w:rsid w:val="00170DA5"/>
    <w:rsid w:val="0017238D"/>
    <w:rsid w:val="001744B5"/>
    <w:rsid w:val="00174E18"/>
    <w:rsid w:val="00176797"/>
    <w:rsid w:val="00177B3F"/>
    <w:rsid w:val="0018000E"/>
    <w:rsid w:val="0018060A"/>
    <w:rsid w:val="00181EB7"/>
    <w:rsid w:val="00183E5B"/>
    <w:rsid w:val="00183F53"/>
    <w:rsid w:val="00183F95"/>
    <w:rsid w:val="00185595"/>
    <w:rsid w:val="00185B59"/>
    <w:rsid w:val="001872AB"/>
    <w:rsid w:val="0019039C"/>
    <w:rsid w:val="001908B2"/>
    <w:rsid w:val="00192273"/>
    <w:rsid w:val="00193C47"/>
    <w:rsid w:val="00196E76"/>
    <w:rsid w:val="001A0D0E"/>
    <w:rsid w:val="001A258F"/>
    <w:rsid w:val="001A3364"/>
    <w:rsid w:val="001A5987"/>
    <w:rsid w:val="001A5AC9"/>
    <w:rsid w:val="001A77D5"/>
    <w:rsid w:val="001A7801"/>
    <w:rsid w:val="001B13EF"/>
    <w:rsid w:val="001B34D9"/>
    <w:rsid w:val="001B3F40"/>
    <w:rsid w:val="001C0183"/>
    <w:rsid w:val="001C0364"/>
    <w:rsid w:val="001C07E3"/>
    <w:rsid w:val="001C15D9"/>
    <w:rsid w:val="001C3154"/>
    <w:rsid w:val="001C3D59"/>
    <w:rsid w:val="001D0362"/>
    <w:rsid w:val="001D0ADD"/>
    <w:rsid w:val="001D3756"/>
    <w:rsid w:val="001D3973"/>
    <w:rsid w:val="001D3FB6"/>
    <w:rsid w:val="001D4122"/>
    <w:rsid w:val="001D6736"/>
    <w:rsid w:val="001E1E8F"/>
    <w:rsid w:val="001E1F06"/>
    <w:rsid w:val="001E3C89"/>
    <w:rsid w:val="001E3FC3"/>
    <w:rsid w:val="001E59C7"/>
    <w:rsid w:val="001E66E3"/>
    <w:rsid w:val="001E6BD1"/>
    <w:rsid w:val="001E7085"/>
    <w:rsid w:val="001F0021"/>
    <w:rsid w:val="001F21A9"/>
    <w:rsid w:val="001F3744"/>
    <w:rsid w:val="001F377B"/>
    <w:rsid w:val="001F3A1D"/>
    <w:rsid w:val="001F3C7D"/>
    <w:rsid w:val="001F5B05"/>
    <w:rsid w:val="001F7261"/>
    <w:rsid w:val="001F77E1"/>
    <w:rsid w:val="00200C94"/>
    <w:rsid w:val="00205374"/>
    <w:rsid w:val="00206615"/>
    <w:rsid w:val="00210560"/>
    <w:rsid w:val="00210FAD"/>
    <w:rsid w:val="00212A70"/>
    <w:rsid w:val="00215774"/>
    <w:rsid w:val="00215CAA"/>
    <w:rsid w:val="00216791"/>
    <w:rsid w:val="002218AB"/>
    <w:rsid w:val="00227177"/>
    <w:rsid w:val="002311AF"/>
    <w:rsid w:val="00231E07"/>
    <w:rsid w:val="002342F4"/>
    <w:rsid w:val="00235FC0"/>
    <w:rsid w:val="00240420"/>
    <w:rsid w:val="002405E6"/>
    <w:rsid w:val="00242929"/>
    <w:rsid w:val="00243D48"/>
    <w:rsid w:val="00246043"/>
    <w:rsid w:val="0024672C"/>
    <w:rsid w:val="002506A1"/>
    <w:rsid w:val="00250723"/>
    <w:rsid w:val="00251FAC"/>
    <w:rsid w:val="00254269"/>
    <w:rsid w:val="00254710"/>
    <w:rsid w:val="00255BA4"/>
    <w:rsid w:val="00256C0A"/>
    <w:rsid w:val="002602E4"/>
    <w:rsid w:val="002608E5"/>
    <w:rsid w:val="00267598"/>
    <w:rsid w:val="0027037A"/>
    <w:rsid w:val="002710D9"/>
    <w:rsid w:val="0027179C"/>
    <w:rsid w:val="002728C9"/>
    <w:rsid w:val="00273B26"/>
    <w:rsid w:val="0027733E"/>
    <w:rsid w:val="00277E71"/>
    <w:rsid w:val="00280583"/>
    <w:rsid w:val="00280E00"/>
    <w:rsid w:val="00280E4F"/>
    <w:rsid w:val="002813B8"/>
    <w:rsid w:val="00282F70"/>
    <w:rsid w:val="00283067"/>
    <w:rsid w:val="002861A3"/>
    <w:rsid w:val="00286ADF"/>
    <w:rsid w:val="00287CDB"/>
    <w:rsid w:val="00291553"/>
    <w:rsid w:val="00292066"/>
    <w:rsid w:val="00292426"/>
    <w:rsid w:val="002952E6"/>
    <w:rsid w:val="00295FFF"/>
    <w:rsid w:val="002A03E8"/>
    <w:rsid w:val="002A12D0"/>
    <w:rsid w:val="002A19B3"/>
    <w:rsid w:val="002A2F73"/>
    <w:rsid w:val="002A3481"/>
    <w:rsid w:val="002A4093"/>
    <w:rsid w:val="002A4ACF"/>
    <w:rsid w:val="002A5EBE"/>
    <w:rsid w:val="002A6BA4"/>
    <w:rsid w:val="002B1CE8"/>
    <w:rsid w:val="002B1FF3"/>
    <w:rsid w:val="002B2AA7"/>
    <w:rsid w:val="002B37C8"/>
    <w:rsid w:val="002B4FBF"/>
    <w:rsid w:val="002B5531"/>
    <w:rsid w:val="002C1EAC"/>
    <w:rsid w:val="002C3D9E"/>
    <w:rsid w:val="002C5AF9"/>
    <w:rsid w:val="002D0A51"/>
    <w:rsid w:val="002D2B43"/>
    <w:rsid w:val="002D526C"/>
    <w:rsid w:val="002D6E93"/>
    <w:rsid w:val="002E02A0"/>
    <w:rsid w:val="002E0600"/>
    <w:rsid w:val="002E0E05"/>
    <w:rsid w:val="002E280F"/>
    <w:rsid w:val="002E2F02"/>
    <w:rsid w:val="002E570F"/>
    <w:rsid w:val="002E67FF"/>
    <w:rsid w:val="002E717A"/>
    <w:rsid w:val="002F093B"/>
    <w:rsid w:val="002F2682"/>
    <w:rsid w:val="002F2892"/>
    <w:rsid w:val="002F2A2C"/>
    <w:rsid w:val="002F4506"/>
    <w:rsid w:val="002F4EA7"/>
    <w:rsid w:val="002F5D88"/>
    <w:rsid w:val="00302666"/>
    <w:rsid w:val="00302679"/>
    <w:rsid w:val="00302704"/>
    <w:rsid w:val="00305C45"/>
    <w:rsid w:val="003108C1"/>
    <w:rsid w:val="00312399"/>
    <w:rsid w:val="003139A0"/>
    <w:rsid w:val="003141C0"/>
    <w:rsid w:val="00317FEC"/>
    <w:rsid w:val="003211A7"/>
    <w:rsid w:val="003229D2"/>
    <w:rsid w:val="00322ACD"/>
    <w:rsid w:val="003240B9"/>
    <w:rsid w:val="003246F6"/>
    <w:rsid w:val="00325A72"/>
    <w:rsid w:val="00327450"/>
    <w:rsid w:val="00327AAF"/>
    <w:rsid w:val="00333640"/>
    <w:rsid w:val="00336FF3"/>
    <w:rsid w:val="00340449"/>
    <w:rsid w:val="00340828"/>
    <w:rsid w:val="00343884"/>
    <w:rsid w:val="003441A1"/>
    <w:rsid w:val="003445CA"/>
    <w:rsid w:val="003446C3"/>
    <w:rsid w:val="003446E0"/>
    <w:rsid w:val="00345AFE"/>
    <w:rsid w:val="003521ED"/>
    <w:rsid w:val="00353B2B"/>
    <w:rsid w:val="0035418E"/>
    <w:rsid w:val="003579FB"/>
    <w:rsid w:val="00360597"/>
    <w:rsid w:val="003728F0"/>
    <w:rsid w:val="00372F94"/>
    <w:rsid w:val="00374103"/>
    <w:rsid w:val="003749EE"/>
    <w:rsid w:val="003752EC"/>
    <w:rsid w:val="00377232"/>
    <w:rsid w:val="00381F8B"/>
    <w:rsid w:val="00384E5A"/>
    <w:rsid w:val="003869A7"/>
    <w:rsid w:val="00386E20"/>
    <w:rsid w:val="003903D0"/>
    <w:rsid w:val="00390667"/>
    <w:rsid w:val="00391D07"/>
    <w:rsid w:val="003948A5"/>
    <w:rsid w:val="0039575F"/>
    <w:rsid w:val="00395E9B"/>
    <w:rsid w:val="0039625F"/>
    <w:rsid w:val="00396565"/>
    <w:rsid w:val="0039771F"/>
    <w:rsid w:val="003A049C"/>
    <w:rsid w:val="003A0C75"/>
    <w:rsid w:val="003A2A59"/>
    <w:rsid w:val="003A2C2A"/>
    <w:rsid w:val="003A2CC7"/>
    <w:rsid w:val="003A6B73"/>
    <w:rsid w:val="003A7E8F"/>
    <w:rsid w:val="003B1473"/>
    <w:rsid w:val="003B1A4D"/>
    <w:rsid w:val="003B77C7"/>
    <w:rsid w:val="003C1362"/>
    <w:rsid w:val="003C30B9"/>
    <w:rsid w:val="003C3467"/>
    <w:rsid w:val="003C3C1D"/>
    <w:rsid w:val="003C71EE"/>
    <w:rsid w:val="003D15B5"/>
    <w:rsid w:val="003D30CB"/>
    <w:rsid w:val="003D479D"/>
    <w:rsid w:val="003D4EC9"/>
    <w:rsid w:val="003D7FC4"/>
    <w:rsid w:val="003E20E1"/>
    <w:rsid w:val="003E2646"/>
    <w:rsid w:val="003E3B21"/>
    <w:rsid w:val="003E3C65"/>
    <w:rsid w:val="003E55CB"/>
    <w:rsid w:val="003E6589"/>
    <w:rsid w:val="003F094B"/>
    <w:rsid w:val="003F10D7"/>
    <w:rsid w:val="003F326A"/>
    <w:rsid w:val="003F4DF5"/>
    <w:rsid w:val="003F6E11"/>
    <w:rsid w:val="003F7052"/>
    <w:rsid w:val="00400C78"/>
    <w:rsid w:val="00405B63"/>
    <w:rsid w:val="00406042"/>
    <w:rsid w:val="00410313"/>
    <w:rsid w:val="0041504A"/>
    <w:rsid w:val="004153E9"/>
    <w:rsid w:val="00415D39"/>
    <w:rsid w:val="00422153"/>
    <w:rsid w:val="00424422"/>
    <w:rsid w:val="00424917"/>
    <w:rsid w:val="004275D7"/>
    <w:rsid w:val="00431D20"/>
    <w:rsid w:val="00433630"/>
    <w:rsid w:val="00435116"/>
    <w:rsid w:val="00435A3E"/>
    <w:rsid w:val="0043783F"/>
    <w:rsid w:val="00441106"/>
    <w:rsid w:val="0044113F"/>
    <w:rsid w:val="00446E88"/>
    <w:rsid w:val="00450993"/>
    <w:rsid w:val="004554D4"/>
    <w:rsid w:val="004575F0"/>
    <w:rsid w:val="00457E20"/>
    <w:rsid w:val="00460C60"/>
    <w:rsid w:val="00461379"/>
    <w:rsid w:val="00464093"/>
    <w:rsid w:val="00466BB8"/>
    <w:rsid w:val="00470143"/>
    <w:rsid w:val="00472E18"/>
    <w:rsid w:val="004748FE"/>
    <w:rsid w:val="00475723"/>
    <w:rsid w:val="00475D63"/>
    <w:rsid w:val="00475FAF"/>
    <w:rsid w:val="00477D03"/>
    <w:rsid w:val="00481509"/>
    <w:rsid w:val="00481B34"/>
    <w:rsid w:val="00482AC3"/>
    <w:rsid w:val="00482D08"/>
    <w:rsid w:val="0048355A"/>
    <w:rsid w:val="00483C7C"/>
    <w:rsid w:val="00484252"/>
    <w:rsid w:val="004855FA"/>
    <w:rsid w:val="004857F8"/>
    <w:rsid w:val="00485F5C"/>
    <w:rsid w:val="00486E7C"/>
    <w:rsid w:val="004929B5"/>
    <w:rsid w:val="004946E7"/>
    <w:rsid w:val="00496219"/>
    <w:rsid w:val="00496B6E"/>
    <w:rsid w:val="00497114"/>
    <w:rsid w:val="004A0428"/>
    <w:rsid w:val="004A0EC1"/>
    <w:rsid w:val="004A2BD2"/>
    <w:rsid w:val="004A32C3"/>
    <w:rsid w:val="004A4B8C"/>
    <w:rsid w:val="004A5855"/>
    <w:rsid w:val="004A5EF3"/>
    <w:rsid w:val="004A7386"/>
    <w:rsid w:val="004B0320"/>
    <w:rsid w:val="004B22A1"/>
    <w:rsid w:val="004B478D"/>
    <w:rsid w:val="004B72CA"/>
    <w:rsid w:val="004B78D9"/>
    <w:rsid w:val="004C254D"/>
    <w:rsid w:val="004C3D2E"/>
    <w:rsid w:val="004C5CEA"/>
    <w:rsid w:val="004C6749"/>
    <w:rsid w:val="004C7418"/>
    <w:rsid w:val="004C7787"/>
    <w:rsid w:val="004C7B6E"/>
    <w:rsid w:val="004D570B"/>
    <w:rsid w:val="004D6B5E"/>
    <w:rsid w:val="004D72AB"/>
    <w:rsid w:val="004E0FD5"/>
    <w:rsid w:val="004E121D"/>
    <w:rsid w:val="004E2F2D"/>
    <w:rsid w:val="004E4FDD"/>
    <w:rsid w:val="004E6353"/>
    <w:rsid w:val="004F035D"/>
    <w:rsid w:val="004F2F7A"/>
    <w:rsid w:val="004F538C"/>
    <w:rsid w:val="004F5920"/>
    <w:rsid w:val="005000C3"/>
    <w:rsid w:val="005013F3"/>
    <w:rsid w:val="00501763"/>
    <w:rsid w:val="005032F9"/>
    <w:rsid w:val="005036DE"/>
    <w:rsid w:val="00504B81"/>
    <w:rsid w:val="0050547A"/>
    <w:rsid w:val="00505597"/>
    <w:rsid w:val="0051345B"/>
    <w:rsid w:val="00514415"/>
    <w:rsid w:val="00515A62"/>
    <w:rsid w:val="00515A8E"/>
    <w:rsid w:val="00524FE6"/>
    <w:rsid w:val="00526438"/>
    <w:rsid w:val="005277B6"/>
    <w:rsid w:val="005302D0"/>
    <w:rsid w:val="005303A8"/>
    <w:rsid w:val="00534054"/>
    <w:rsid w:val="00536087"/>
    <w:rsid w:val="005401E1"/>
    <w:rsid w:val="0054036B"/>
    <w:rsid w:val="005416DE"/>
    <w:rsid w:val="005417FD"/>
    <w:rsid w:val="00542588"/>
    <w:rsid w:val="00543A34"/>
    <w:rsid w:val="00544A17"/>
    <w:rsid w:val="005477F8"/>
    <w:rsid w:val="005518CD"/>
    <w:rsid w:val="0055324B"/>
    <w:rsid w:val="00553C2F"/>
    <w:rsid w:val="00554F29"/>
    <w:rsid w:val="00556AAA"/>
    <w:rsid w:val="0055781B"/>
    <w:rsid w:val="0056172D"/>
    <w:rsid w:val="005649EA"/>
    <w:rsid w:val="00564C75"/>
    <w:rsid w:val="005731B7"/>
    <w:rsid w:val="00575ABA"/>
    <w:rsid w:val="00576C45"/>
    <w:rsid w:val="0058076E"/>
    <w:rsid w:val="00580EE7"/>
    <w:rsid w:val="00581947"/>
    <w:rsid w:val="005822F1"/>
    <w:rsid w:val="00584328"/>
    <w:rsid w:val="00586C1A"/>
    <w:rsid w:val="0058789D"/>
    <w:rsid w:val="0059000C"/>
    <w:rsid w:val="00592639"/>
    <w:rsid w:val="0059311D"/>
    <w:rsid w:val="0059373A"/>
    <w:rsid w:val="00595D55"/>
    <w:rsid w:val="00595F3D"/>
    <w:rsid w:val="0059665F"/>
    <w:rsid w:val="00596A74"/>
    <w:rsid w:val="00596FA0"/>
    <w:rsid w:val="005A116C"/>
    <w:rsid w:val="005A16D6"/>
    <w:rsid w:val="005A3164"/>
    <w:rsid w:val="005A5081"/>
    <w:rsid w:val="005A6A31"/>
    <w:rsid w:val="005B141B"/>
    <w:rsid w:val="005B35B2"/>
    <w:rsid w:val="005B3B1B"/>
    <w:rsid w:val="005B7011"/>
    <w:rsid w:val="005C09ED"/>
    <w:rsid w:val="005C3C66"/>
    <w:rsid w:val="005C6E79"/>
    <w:rsid w:val="005C7317"/>
    <w:rsid w:val="005D01A7"/>
    <w:rsid w:val="005D164D"/>
    <w:rsid w:val="005D435B"/>
    <w:rsid w:val="005D4DC4"/>
    <w:rsid w:val="005E1369"/>
    <w:rsid w:val="005E2316"/>
    <w:rsid w:val="005E2AF7"/>
    <w:rsid w:val="005E3FC4"/>
    <w:rsid w:val="005E62BC"/>
    <w:rsid w:val="005F269F"/>
    <w:rsid w:val="005F39AE"/>
    <w:rsid w:val="005F3D91"/>
    <w:rsid w:val="005F5B97"/>
    <w:rsid w:val="005F62C0"/>
    <w:rsid w:val="00601AC1"/>
    <w:rsid w:val="00605920"/>
    <w:rsid w:val="006066B3"/>
    <w:rsid w:val="00607618"/>
    <w:rsid w:val="006100E5"/>
    <w:rsid w:val="00610238"/>
    <w:rsid w:val="00610697"/>
    <w:rsid w:val="00610B4D"/>
    <w:rsid w:val="00612DAE"/>
    <w:rsid w:val="0061338F"/>
    <w:rsid w:val="006135E3"/>
    <w:rsid w:val="0061679C"/>
    <w:rsid w:val="00616C5D"/>
    <w:rsid w:val="00616DC0"/>
    <w:rsid w:val="00620C61"/>
    <w:rsid w:val="00620F33"/>
    <w:rsid w:val="006212D3"/>
    <w:rsid w:val="00622547"/>
    <w:rsid w:val="00623A41"/>
    <w:rsid w:val="006244B6"/>
    <w:rsid w:val="006247FC"/>
    <w:rsid w:val="00627AE2"/>
    <w:rsid w:val="006302A0"/>
    <w:rsid w:val="006326FD"/>
    <w:rsid w:val="00634075"/>
    <w:rsid w:val="00636481"/>
    <w:rsid w:val="00636DBC"/>
    <w:rsid w:val="00642635"/>
    <w:rsid w:val="00642C56"/>
    <w:rsid w:val="00644AE5"/>
    <w:rsid w:val="00644FFD"/>
    <w:rsid w:val="006450B3"/>
    <w:rsid w:val="006504E1"/>
    <w:rsid w:val="006526AF"/>
    <w:rsid w:val="0065361C"/>
    <w:rsid w:val="006565E2"/>
    <w:rsid w:val="006566D3"/>
    <w:rsid w:val="00660966"/>
    <w:rsid w:val="00660C5B"/>
    <w:rsid w:val="006617C6"/>
    <w:rsid w:val="006650AC"/>
    <w:rsid w:val="00666DD9"/>
    <w:rsid w:val="006677A3"/>
    <w:rsid w:val="00670FF9"/>
    <w:rsid w:val="00672021"/>
    <w:rsid w:val="00672133"/>
    <w:rsid w:val="00672A2A"/>
    <w:rsid w:val="006732D9"/>
    <w:rsid w:val="00675DF2"/>
    <w:rsid w:val="00676271"/>
    <w:rsid w:val="00676FB7"/>
    <w:rsid w:val="006804B0"/>
    <w:rsid w:val="0068292D"/>
    <w:rsid w:val="00683690"/>
    <w:rsid w:val="00683D59"/>
    <w:rsid w:val="006854D1"/>
    <w:rsid w:val="00685E87"/>
    <w:rsid w:val="006908C7"/>
    <w:rsid w:val="00690A28"/>
    <w:rsid w:val="00690EA1"/>
    <w:rsid w:val="00691A01"/>
    <w:rsid w:val="00691BFF"/>
    <w:rsid w:val="00697649"/>
    <w:rsid w:val="006A06A3"/>
    <w:rsid w:val="006A104D"/>
    <w:rsid w:val="006A211C"/>
    <w:rsid w:val="006A278A"/>
    <w:rsid w:val="006A5F42"/>
    <w:rsid w:val="006B0BBA"/>
    <w:rsid w:val="006B1E05"/>
    <w:rsid w:val="006B2709"/>
    <w:rsid w:val="006B2C48"/>
    <w:rsid w:val="006B4748"/>
    <w:rsid w:val="006B5AAA"/>
    <w:rsid w:val="006B6DA6"/>
    <w:rsid w:val="006C12C3"/>
    <w:rsid w:val="006C1C26"/>
    <w:rsid w:val="006C2026"/>
    <w:rsid w:val="006C291D"/>
    <w:rsid w:val="006C6246"/>
    <w:rsid w:val="006D09A8"/>
    <w:rsid w:val="006D09CB"/>
    <w:rsid w:val="006D26B2"/>
    <w:rsid w:val="006D287D"/>
    <w:rsid w:val="006D44AF"/>
    <w:rsid w:val="006E2BEA"/>
    <w:rsid w:val="006E37B1"/>
    <w:rsid w:val="006E459B"/>
    <w:rsid w:val="006F28D4"/>
    <w:rsid w:val="006F4501"/>
    <w:rsid w:val="006F5FC1"/>
    <w:rsid w:val="006F6C39"/>
    <w:rsid w:val="006F7821"/>
    <w:rsid w:val="0070107D"/>
    <w:rsid w:val="007011EE"/>
    <w:rsid w:val="00701F2C"/>
    <w:rsid w:val="007024EA"/>
    <w:rsid w:val="00703713"/>
    <w:rsid w:val="00704F3E"/>
    <w:rsid w:val="00707851"/>
    <w:rsid w:val="00715B81"/>
    <w:rsid w:val="0072032F"/>
    <w:rsid w:val="0072473F"/>
    <w:rsid w:val="0073142E"/>
    <w:rsid w:val="007331A8"/>
    <w:rsid w:val="00735ACA"/>
    <w:rsid w:val="00736993"/>
    <w:rsid w:val="00737829"/>
    <w:rsid w:val="00742716"/>
    <w:rsid w:val="00744241"/>
    <w:rsid w:val="0074468D"/>
    <w:rsid w:val="00744D63"/>
    <w:rsid w:val="00745DD9"/>
    <w:rsid w:val="007475F4"/>
    <w:rsid w:val="00750D90"/>
    <w:rsid w:val="00751327"/>
    <w:rsid w:val="0075370F"/>
    <w:rsid w:val="00756D44"/>
    <w:rsid w:val="00762E37"/>
    <w:rsid w:val="00764327"/>
    <w:rsid w:val="00764ED1"/>
    <w:rsid w:val="00766A6D"/>
    <w:rsid w:val="0076721A"/>
    <w:rsid w:val="00773BF7"/>
    <w:rsid w:val="00774F3B"/>
    <w:rsid w:val="007807D7"/>
    <w:rsid w:val="00780A4B"/>
    <w:rsid w:val="007818A9"/>
    <w:rsid w:val="00782837"/>
    <w:rsid w:val="00790E1B"/>
    <w:rsid w:val="007919EC"/>
    <w:rsid w:val="0079226B"/>
    <w:rsid w:val="007922EB"/>
    <w:rsid w:val="007960B6"/>
    <w:rsid w:val="00797159"/>
    <w:rsid w:val="007A1E4E"/>
    <w:rsid w:val="007A2E53"/>
    <w:rsid w:val="007A3C90"/>
    <w:rsid w:val="007A4E72"/>
    <w:rsid w:val="007A7FA4"/>
    <w:rsid w:val="007B0491"/>
    <w:rsid w:val="007B26ED"/>
    <w:rsid w:val="007B414F"/>
    <w:rsid w:val="007B4853"/>
    <w:rsid w:val="007B5503"/>
    <w:rsid w:val="007C2DCD"/>
    <w:rsid w:val="007C3EAF"/>
    <w:rsid w:val="007C583C"/>
    <w:rsid w:val="007C7311"/>
    <w:rsid w:val="007D0E4E"/>
    <w:rsid w:val="007D350F"/>
    <w:rsid w:val="007D442B"/>
    <w:rsid w:val="007D4D5B"/>
    <w:rsid w:val="007D6C27"/>
    <w:rsid w:val="007E10E8"/>
    <w:rsid w:val="007E161A"/>
    <w:rsid w:val="007E3887"/>
    <w:rsid w:val="007E3DA3"/>
    <w:rsid w:val="007F1086"/>
    <w:rsid w:val="007F179D"/>
    <w:rsid w:val="007F3646"/>
    <w:rsid w:val="007F72E8"/>
    <w:rsid w:val="00800AB7"/>
    <w:rsid w:val="008023EC"/>
    <w:rsid w:val="0080481E"/>
    <w:rsid w:val="0080483E"/>
    <w:rsid w:val="008051DD"/>
    <w:rsid w:val="00806DC9"/>
    <w:rsid w:val="00807A42"/>
    <w:rsid w:val="00810DB4"/>
    <w:rsid w:val="00810EBA"/>
    <w:rsid w:val="00813CD9"/>
    <w:rsid w:val="0081431A"/>
    <w:rsid w:val="00815B24"/>
    <w:rsid w:val="00817C33"/>
    <w:rsid w:val="0082214D"/>
    <w:rsid w:val="00822495"/>
    <w:rsid w:val="00822FC3"/>
    <w:rsid w:val="008255AC"/>
    <w:rsid w:val="00826E2B"/>
    <w:rsid w:val="00833472"/>
    <w:rsid w:val="00833902"/>
    <w:rsid w:val="0083603E"/>
    <w:rsid w:val="00841645"/>
    <w:rsid w:val="0084578F"/>
    <w:rsid w:val="008457A7"/>
    <w:rsid w:val="008470D9"/>
    <w:rsid w:val="00850C28"/>
    <w:rsid w:val="0085372E"/>
    <w:rsid w:val="00853E38"/>
    <w:rsid w:val="00856038"/>
    <w:rsid w:val="00856766"/>
    <w:rsid w:val="0085683F"/>
    <w:rsid w:val="00857082"/>
    <w:rsid w:val="00857A62"/>
    <w:rsid w:val="00857F7B"/>
    <w:rsid w:val="00863CE1"/>
    <w:rsid w:val="00865F7B"/>
    <w:rsid w:val="00866A18"/>
    <w:rsid w:val="00866EDC"/>
    <w:rsid w:val="00872708"/>
    <w:rsid w:val="0087597A"/>
    <w:rsid w:val="008759E3"/>
    <w:rsid w:val="008763F5"/>
    <w:rsid w:val="0087643F"/>
    <w:rsid w:val="00880068"/>
    <w:rsid w:val="0088075C"/>
    <w:rsid w:val="00881358"/>
    <w:rsid w:val="00881606"/>
    <w:rsid w:val="00882111"/>
    <w:rsid w:val="00883C02"/>
    <w:rsid w:val="008844C0"/>
    <w:rsid w:val="00884CF0"/>
    <w:rsid w:val="008866B3"/>
    <w:rsid w:val="00887B7E"/>
    <w:rsid w:val="00891DE1"/>
    <w:rsid w:val="008938FC"/>
    <w:rsid w:val="008950C1"/>
    <w:rsid w:val="00895650"/>
    <w:rsid w:val="00896B88"/>
    <w:rsid w:val="0089770A"/>
    <w:rsid w:val="008A2DDC"/>
    <w:rsid w:val="008A40FA"/>
    <w:rsid w:val="008A4630"/>
    <w:rsid w:val="008A7F4D"/>
    <w:rsid w:val="008B21A2"/>
    <w:rsid w:val="008B4002"/>
    <w:rsid w:val="008B4AF7"/>
    <w:rsid w:val="008B749D"/>
    <w:rsid w:val="008C086F"/>
    <w:rsid w:val="008C2A9A"/>
    <w:rsid w:val="008C2C1B"/>
    <w:rsid w:val="008C53C5"/>
    <w:rsid w:val="008C7802"/>
    <w:rsid w:val="008D08DB"/>
    <w:rsid w:val="008D29D4"/>
    <w:rsid w:val="008D5825"/>
    <w:rsid w:val="008D7A99"/>
    <w:rsid w:val="008D7EA9"/>
    <w:rsid w:val="008E0BFE"/>
    <w:rsid w:val="008E10C3"/>
    <w:rsid w:val="008E2B81"/>
    <w:rsid w:val="008E4AAD"/>
    <w:rsid w:val="008E4AC5"/>
    <w:rsid w:val="008E5CB4"/>
    <w:rsid w:val="008E74B2"/>
    <w:rsid w:val="008E755B"/>
    <w:rsid w:val="008F10BC"/>
    <w:rsid w:val="008F12E8"/>
    <w:rsid w:val="008F191F"/>
    <w:rsid w:val="008F2295"/>
    <w:rsid w:val="008F2D50"/>
    <w:rsid w:val="008F2E4A"/>
    <w:rsid w:val="008F39E4"/>
    <w:rsid w:val="008F3D79"/>
    <w:rsid w:val="008F67B2"/>
    <w:rsid w:val="008F76C8"/>
    <w:rsid w:val="00900DFE"/>
    <w:rsid w:val="00902DCC"/>
    <w:rsid w:val="0090370D"/>
    <w:rsid w:val="00906170"/>
    <w:rsid w:val="00906F91"/>
    <w:rsid w:val="009074F8"/>
    <w:rsid w:val="00907DFE"/>
    <w:rsid w:val="009138A3"/>
    <w:rsid w:val="00914D51"/>
    <w:rsid w:val="009153E3"/>
    <w:rsid w:val="00922ACA"/>
    <w:rsid w:val="00924045"/>
    <w:rsid w:val="0092630F"/>
    <w:rsid w:val="00930212"/>
    <w:rsid w:val="00930E08"/>
    <w:rsid w:val="009345D6"/>
    <w:rsid w:val="00942E15"/>
    <w:rsid w:val="00943615"/>
    <w:rsid w:val="00943622"/>
    <w:rsid w:val="00946D95"/>
    <w:rsid w:val="009478CA"/>
    <w:rsid w:val="00950ED0"/>
    <w:rsid w:val="00951DCB"/>
    <w:rsid w:val="009523D9"/>
    <w:rsid w:val="009553D5"/>
    <w:rsid w:val="00955F64"/>
    <w:rsid w:val="009613E4"/>
    <w:rsid w:val="009619E7"/>
    <w:rsid w:val="00967E12"/>
    <w:rsid w:val="009712EE"/>
    <w:rsid w:val="00974A43"/>
    <w:rsid w:val="00975C25"/>
    <w:rsid w:val="0097621A"/>
    <w:rsid w:val="00980174"/>
    <w:rsid w:val="009815AE"/>
    <w:rsid w:val="00986069"/>
    <w:rsid w:val="009875B5"/>
    <w:rsid w:val="00994329"/>
    <w:rsid w:val="009964FB"/>
    <w:rsid w:val="009A0E01"/>
    <w:rsid w:val="009A2513"/>
    <w:rsid w:val="009A5803"/>
    <w:rsid w:val="009A6A93"/>
    <w:rsid w:val="009A7414"/>
    <w:rsid w:val="009B369F"/>
    <w:rsid w:val="009B454D"/>
    <w:rsid w:val="009C2AE7"/>
    <w:rsid w:val="009C4517"/>
    <w:rsid w:val="009C65AA"/>
    <w:rsid w:val="009C66C0"/>
    <w:rsid w:val="009C71B8"/>
    <w:rsid w:val="009D21DD"/>
    <w:rsid w:val="009D35C1"/>
    <w:rsid w:val="009D402F"/>
    <w:rsid w:val="009D4F27"/>
    <w:rsid w:val="009D50F5"/>
    <w:rsid w:val="009D69F8"/>
    <w:rsid w:val="009D7A02"/>
    <w:rsid w:val="009E1C08"/>
    <w:rsid w:val="009E3B84"/>
    <w:rsid w:val="009E4712"/>
    <w:rsid w:val="009E4A80"/>
    <w:rsid w:val="009F060B"/>
    <w:rsid w:val="009F2B4A"/>
    <w:rsid w:val="009F3B8C"/>
    <w:rsid w:val="009F5795"/>
    <w:rsid w:val="009F753F"/>
    <w:rsid w:val="00A019EC"/>
    <w:rsid w:val="00A02AB7"/>
    <w:rsid w:val="00A03506"/>
    <w:rsid w:val="00A04112"/>
    <w:rsid w:val="00A04571"/>
    <w:rsid w:val="00A053ED"/>
    <w:rsid w:val="00A05608"/>
    <w:rsid w:val="00A15899"/>
    <w:rsid w:val="00A15BDA"/>
    <w:rsid w:val="00A165BF"/>
    <w:rsid w:val="00A206F6"/>
    <w:rsid w:val="00A20732"/>
    <w:rsid w:val="00A22257"/>
    <w:rsid w:val="00A25AB3"/>
    <w:rsid w:val="00A266DA"/>
    <w:rsid w:val="00A33CAC"/>
    <w:rsid w:val="00A363AE"/>
    <w:rsid w:val="00A36674"/>
    <w:rsid w:val="00A4337F"/>
    <w:rsid w:val="00A4401E"/>
    <w:rsid w:val="00A5113E"/>
    <w:rsid w:val="00A515E6"/>
    <w:rsid w:val="00A52F98"/>
    <w:rsid w:val="00A537EF"/>
    <w:rsid w:val="00A54A51"/>
    <w:rsid w:val="00A54E01"/>
    <w:rsid w:val="00A55A55"/>
    <w:rsid w:val="00A57F9F"/>
    <w:rsid w:val="00A62308"/>
    <w:rsid w:val="00A63B32"/>
    <w:rsid w:val="00A63EFB"/>
    <w:rsid w:val="00A7132C"/>
    <w:rsid w:val="00A71678"/>
    <w:rsid w:val="00A75FDC"/>
    <w:rsid w:val="00A77902"/>
    <w:rsid w:val="00A83677"/>
    <w:rsid w:val="00A84791"/>
    <w:rsid w:val="00A84AB0"/>
    <w:rsid w:val="00A91B44"/>
    <w:rsid w:val="00A92DEE"/>
    <w:rsid w:val="00A94843"/>
    <w:rsid w:val="00A96B10"/>
    <w:rsid w:val="00A977B6"/>
    <w:rsid w:val="00A97C72"/>
    <w:rsid w:val="00AA0CB8"/>
    <w:rsid w:val="00AA2522"/>
    <w:rsid w:val="00AA3CE6"/>
    <w:rsid w:val="00AA4D83"/>
    <w:rsid w:val="00AA60B1"/>
    <w:rsid w:val="00AA707A"/>
    <w:rsid w:val="00AB1092"/>
    <w:rsid w:val="00AB1E68"/>
    <w:rsid w:val="00AB2B70"/>
    <w:rsid w:val="00AB7E3A"/>
    <w:rsid w:val="00AC0D8B"/>
    <w:rsid w:val="00AC11B4"/>
    <w:rsid w:val="00AC1BF6"/>
    <w:rsid w:val="00AC2532"/>
    <w:rsid w:val="00AC5746"/>
    <w:rsid w:val="00AC6E7E"/>
    <w:rsid w:val="00AD0F6D"/>
    <w:rsid w:val="00AD4720"/>
    <w:rsid w:val="00AD4890"/>
    <w:rsid w:val="00AD4D91"/>
    <w:rsid w:val="00AD64C0"/>
    <w:rsid w:val="00AD78C6"/>
    <w:rsid w:val="00AE0CA0"/>
    <w:rsid w:val="00AE1C6C"/>
    <w:rsid w:val="00AE2AE7"/>
    <w:rsid w:val="00AE2FC1"/>
    <w:rsid w:val="00AE42DB"/>
    <w:rsid w:val="00AE6AEC"/>
    <w:rsid w:val="00AE74F2"/>
    <w:rsid w:val="00AF3DDD"/>
    <w:rsid w:val="00AF4C9B"/>
    <w:rsid w:val="00AF7D11"/>
    <w:rsid w:val="00B01198"/>
    <w:rsid w:val="00B023E6"/>
    <w:rsid w:val="00B045D7"/>
    <w:rsid w:val="00B06F99"/>
    <w:rsid w:val="00B07644"/>
    <w:rsid w:val="00B07E42"/>
    <w:rsid w:val="00B1060E"/>
    <w:rsid w:val="00B113F2"/>
    <w:rsid w:val="00B12A5E"/>
    <w:rsid w:val="00B1395A"/>
    <w:rsid w:val="00B14C2B"/>
    <w:rsid w:val="00B156D9"/>
    <w:rsid w:val="00B16D85"/>
    <w:rsid w:val="00B16ED2"/>
    <w:rsid w:val="00B17A55"/>
    <w:rsid w:val="00B22AF4"/>
    <w:rsid w:val="00B23B80"/>
    <w:rsid w:val="00B2699C"/>
    <w:rsid w:val="00B2746C"/>
    <w:rsid w:val="00B3005D"/>
    <w:rsid w:val="00B31D7A"/>
    <w:rsid w:val="00B33A90"/>
    <w:rsid w:val="00B34BAE"/>
    <w:rsid w:val="00B3588F"/>
    <w:rsid w:val="00B4056E"/>
    <w:rsid w:val="00B437C0"/>
    <w:rsid w:val="00B50F6E"/>
    <w:rsid w:val="00B54153"/>
    <w:rsid w:val="00B54924"/>
    <w:rsid w:val="00B55917"/>
    <w:rsid w:val="00B55E04"/>
    <w:rsid w:val="00B56C98"/>
    <w:rsid w:val="00B62FA3"/>
    <w:rsid w:val="00B63EC7"/>
    <w:rsid w:val="00B651BC"/>
    <w:rsid w:val="00B6542F"/>
    <w:rsid w:val="00B65E3E"/>
    <w:rsid w:val="00B67364"/>
    <w:rsid w:val="00B71E27"/>
    <w:rsid w:val="00B72552"/>
    <w:rsid w:val="00B726BC"/>
    <w:rsid w:val="00B77473"/>
    <w:rsid w:val="00B829F8"/>
    <w:rsid w:val="00B8525B"/>
    <w:rsid w:val="00B86140"/>
    <w:rsid w:val="00B9133C"/>
    <w:rsid w:val="00B91F18"/>
    <w:rsid w:val="00B92809"/>
    <w:rsid w:val="00B942B0"/>
    <w:rsid w:val="00B94583"/>
    <w:rsid w:val="00B9598B"/>
    <w:rsid w:val="00B96DE6"/>
    <w:rsid w:val="00BA0360"/>
    <w:rsid w:val="00BA09E9"/>
    <w:rsid w:val="00BA1F94"/>
    <w:rsid w:val="00BA2091"/>
    <w:rsid w:val="00BA33DB"/>
    <w:rsid w:val="00BA3B96"/>
    <w:rsid w:val="00BA46C3"/>
    <w:rsid w:val="00BB01DA"/>
    <w:rsid w:val="00BB0F15"/>
    <w:rsid w:val="00BB1B38"/>
    <w:rsid w:val="00BB22AB"/>
    <w:rsid w:val="00BB2312"/>
    <w:rsid w:val="00BB58E9"/>
    <w:rsid w:val="00BB5B18"/>
    <w:rsid w:val="00BC060E"/>
    <w:rsid w:val="00BC0752"/>
    <w:rsid w:val="00BC0B37"/>
    <w:rsid w:val="00BC1765"/>
    <w:rsid w:val="00BC4280"/>
    <w:rsid w:val="00BC4F66"/>
    <w:rsid w:val="00BD07DF"/>
    <w:rsid w:val="00BD1F95"/>
    <w:rsid w:val="00BD3C1B"/>
    <w:rsid w:val="00BD55DE"/>
    <w:rsid w:val="00BD5CBF"/>
    <w:rsid w:val="00BD67A9"/>
    <w:rsid w:val="00BE4AFC"/>
    <w:rsid w:val="00BE5D7B"/>
    <w:rsid w:val="00BE66B3"/>
    <w:rsid w:val="00BE67FA"/>
    <w:rsid w:val="00BF3929"/>
    <w:rsid w:val="00BF3E67"/>
    <w:rsid w:val="00BF4605"/>
    <w:rsid w:val="00BF7E2C"/>
    <w:rsid w:val="00C01902"/>
    <w:rsid w:val="00C01BD0"/>
    <w:rsid w:val="00C04272"/>
    <w:rsid w:val="00C0509A"/>
    <w:rsid w:val="00C0557E"/>
    <w:rsid w:val="00C0693A"/>
    <w:rsid w:val="00C12B0D"/>
    <w:rsid w:val="00C14BE2"/>
    <w:rsid w:val="00C14D24"/>
    <w:rsid w:val="00C1555D"/>
    <w:rsid w:val="00C17DD8"/>
    <w:rsid w:val="00C215A3"/>
    <w:rsid w:val="00C216AF"/>
    <w:rsid w:val="00C24A15"/>
    <w:rsid w:val="00C25E04"/>
    <w:rsid w:val="00C272F8"/>
    <w:rsid w:val="00C305EA"/>
    <w:rsid w:val="00C307F4"/>
    <w:rsid w:val="00C314B5"/>
    <w:rsid w:val="00C31767"/>
    <w:rsid w:val="00C32E0B"/>
    <w:rsid w:val="00C35E93"/>
    <w:rsid w:val="00C40D4F"/>
    <w:rsid w:val="00C40E3F"/>
    <w:rsid w:val="00C433B4"/>
    <w:rsid w:val="00C46EAA"/>
    <w:rsid w:val="00C47A5A"/>
    <w:rsid w:val="00C5070E"/>
    <w:rsid w:val="00C5322D"/>
    <w:rsid w:val="00C53268"/>
    <w:rsid w:val="00C540A2"/>
    <w:rsid w:val="00C54DA5"/>
    <w:rsid w:val="00C55F1E"/>
    <w:rsid w:val="00C57C7D"/>
    <w:rsid w:val="00C6303C"/>
    <w:rsid w:val="00C65537"/>
    <w:rsid w:val="00C65B3A"/>
    <w:rsid w:val="00C65F08"/>
    <w:rsid w:val="00C6796D"/>
    <w:rsid w:val="00C70047"/>
    <w:rsid w:val="00C72521"/>
    <w:rsid w:val="00C74517"/>
    <w:rsid w:val="00C74588"/>
    <w:rsid w:val="00C74D02"/>
    <w:rsid w:val="00C75A8D"/>
    <w:rsid w:val="00C75C71"/>
    <w:rsid w:val="00C81726"/>
    <w:rsid w:val="00C83AA9"/>
    <w:rsid w:val="00C91F85"/>
    <w:rsid w:val="00C92913"/>
    <w:rsid w:val="00C930CA"/>
    <w:rsid w:val="00CA0BED"/>
    <w:rsid w:val="00CA112C"/>
    <w:rsid w:val="00CA1FE9"/>
    <w:rsid w:val="00CA6723"/>
    <w:rsid w:val="00CA7E2F"/>
    <w:rsid w:val="00CB0F91"/>
    <w:rsid w:val="00CB14DE"/>
    <w:rsid w:val="00CB19C5"/>
    <w:rsid w:val="00CC1030"/>
    <w:rsid w:val="00CC127A"/>
    <w:rsid w:val="00CC2CD1"/>
    <w:rsid w:val="00CC5820"/>
    <w:rsid w:val="00CD26E8"/>
    <w:rsid w:val="00CD3EBD"/>
    <w:rsid w:val="00CD5FAA"/>
    <w:rsid w:val="00CD7D3C"/>
    <w:rsid w:val="00CE649D"/>
    <w:rsid w:val="00CE6B86"/>
    <w:rsid w:val="00CF047C"/>
    <w:rsid w:val="00CF0FDD"/>
    <w:rsid w:val="00CF1810"/>
    <w:rsid w:val="00CF2B16"/>
    <w:rsid w:val="00CF3D4C"/>
    <w:rsid w:val="00CF4430"/>
    <w:rsid w:val="00CF51E1"/>
    <w:rsid w:val="00CF5880"/>
    <w:rsid w:val="00CF59BB"/>
    <w:rsid w:val="00CF70C0"/>
    <w:rsid w:val="00CF725C"/>
    <w:rsid w:val="00D0120D"/>
    <w:rsid w:val="00D03AC5"/>
    <w:rsid w:val="00D11D3F"/>
    <w:rsid w:val="00D15BC2"/>
    <w:rsid w:val="00D21035"/>
    <w:rsid w:val="00D21E02"/>
    <w:rsid w:val="00D23CD6"/>
    <w:rsid w:val="00D23D34"/>
    <w:rsid w:val="00D26F0B"/>
    <w:rsid w:val="00D27CAC"/>
    <w:rsid w:val="00D31712"/>
    <w:rsid w:val="00D32BF2"/>
    <w:rsid w:val="00D3487B"/>
    <w:rsid w:val="00D34BF8"/>
    <w:rsid w:val="00D3531D"/>
    <w:rsid w:val="00D37729"/>
    <w:rsid w:val="00D41EE4"/>
    <w:rsid w:val="00D43245"/>
    <w:rsid w:val="00D4789A"/>
    <w:rsid w:val="00D47B75"/>
    <w:rsid w:val="00D47F5F"/>
    <w:rsid w:val="00D54801"/>
    <w:rsid w:val="00D55D20"/>
    <w:rsid w:val="00D5737B"/>
    <w:rsid w:val="00D60269"/>
    <w:rsid w:val="00D62B7A"/>
    <w:rsid w:val="00D62DC6"/>
    <w:rsid w:val="00D62E24"/>
    <w:rsid w:val="00D63A65"/>
    <w:rsid w:val="00D66571"/>
    <w:rsid w:val="00D70236"/>
    <w:rsid w:val="00D70918"/>
    <w:rsid w:val="00D72183"/>
    <w:rsid w:val="00D7349B"/>
    <w:rsid w:val="00D7417C"/>
    <w:rsid w:val="00D745F4"/>
    <w:rsid w:val="00D7568D"/>
    <w:rsid w:val="00D76D6B"/>
    <w:rsid w:val="00D77226"/>
    <w:rsid w:val="00D81FEF"/>
    <w:rsid w:val="00D83351"/>
    <w:rsid w:val="00D85A4B"/>
    <w:rsid w:val="00D86828"/>
    <w:rsid w:val="00D87D37"/>
    <w:rsid w:val="00D933C3"/>
    <w:rsid w:val="00D93F40"/>
    <w:rsid w:val="00D9418D"/>
    <w:rsid w:val="00D955A0"/>
    <w:rsid w:val="00D960DD"/>
    <w:rsid w:val="00D962ED"/>
    <w:rsid w:val="00D97054"/>
    <w:rsid w:val="00DA3E1C"/>
    <w:rsid w:val="00DA4C63"/>
    <w:rsid w:val="00DA6267"/>
    <w:rsid w:val="00DA745D"/>
    <w:rsid w:val="00DA7983"/>
    <w:rsid w:val="00DB044A"/>
    <w:rsid w:val="00DB0CE6"/>
    <w:rsid w:val="00DB20A4"/>
    <w:rsid w:val="00DB332B"/>
    <w:rsid w:val="00DB3577"/>
    <w:rsid w:val="00DB697E"/>
    <w:rsid w:val="00DB78B7"/>
    <w:rsid w:val="00DC0FB3"/>
    <w:rsid w:val="00DC1FC4"/>
    <w:rsid w:val="00DC225E"/>
    <w:rsid w:val="00DC3092"/>
    <w:rsid w:val="00DC4AC7"/>
    <w:rsid w:val="00DC59E2"/>
    <w:rsid w:val="00DC7444"/>
    <w:rsid w:val="00DC7E53"/>
    <w:rsid w:val="00DD1642"/>
    <w:rsid w:val="00DD1798"/>
    <w:rsid w:val="00DD35C1"/>
    <w:rsid w:val="00DD4650"/>
    <w:rsid w:val="00DD50B1"/>
    <w:rsid w:val="00DD589A"/>
    <w:rsid w:val="00DD605A"/>
    <w:rsid w:val="00DD6087"/>
    <w:rsid w:val="00DD6D20"/>
    <w:rsid w:val="00DE1B29"/>
    <w:rsid w:val="00DE581A"/>
    <w:rsid w:val="00DF071D"/>
    <w:rsid w:val="00DF0E79"/>
    <w:rsid w:val="00DF1C2A"/>
    <w:rsid w:val="00DF1DDA"/>
    <w:rsid w:val="00DF45F8"/>
    <w:rsid w:val="00DF61A8"/>
    <w:rsid w:val="00DF7975"/>
    <w:rsid w:val="00DF7D24"/>
    <w:rsid w:val="00E004C0"/>
    <w:rsid w:val="00E0195B"/>
    <w:rsid w:val="00E02D61"/>
    <w:rsid w:val="00E03A56"/>
    <w:rsid w:val="00E04773"/>
    <w:rsid w:val="00E0487A"/>
    <w:rsid w:val="00E1612E"/>
    <w:rsid w:val="00E1659C"/>
    <w:rsid w:val="00E165B3"/>
    <w:rsid w:val="00E22934"/>
    <w:rsid w:val="00E22B5E"/>
    <w:rsid w:val="00E22F70"/>
    <w:rsid w:val="00E2456F"/>
    <w:rsid w:val="00E277C5"/>
    <w:rsid w:val="00E307A8"/>
    <w:rsid w:val="00E30F6D"/>
    <w:rsid w:val="00E34C42"/>
    <w:rsid w:val="00E34C81"/>
    <w:rsid w:val="00E35445"/>
    <w:rsid w:val="00E35CA0"/>
    <w:rsid w:val="00E370C0"/>
    <w:rsid w:val="00E42621"/>
    <w:rsid w:val="00E428D5"/>
    <w:rsid w:val="00E471E8"/>
    <w:rsid w:val="00E472BF"/>
    <w:rsid w:val="00E47652"/>
    <w:rsid w:val="00E47CB4"/>
    <w:rsid w:val="00E53470"/>
    <w:rsid w:val="00E53D81"/>
    <w:rsid w:val="00E56191"/>
    <w:rsid w:val="00E60B99"/>
    <w:rsid w:val="00E61A34"/>
    <w:rsid w:val="00E62208"/>
    <w:rsid w:val="00E62A5C"/>
    <w:rsid w:val="00E631DA"/>
    <w:rsid w:val="00E6702F"/>
    <w:rsid w:val="00E72B95"/>
    <w:rsid w:val="00E7467B"/>
    <w:rsid w:val="00E74A09"/>
    <w:rsid w:val="00E7666C"/>
    <w:rsid w:val="00E76EE5"/>
    <w:rsid w:val="00E77042"/>
    <w:rsid w:val="00E83861"/>
    <w:rsid w:val="00E83962"/>
    <w:rsid w:val="00E84631"/>
    <w:rsid w:val="00E849BD"/>
    <w:rsid w:val="00E84E63"/>
    <w:rsid w:val="00E86E52"/>
    <w:rsid w:val="00E8778A"/>
    <w:rsid w:val="00E8798F"/>
    <w:rsid w:val="00E926DE"/>
    <w:rsid w:val="00E96A37"/>
    <w:rsid w:val="00E97C86"/>
    <w:rsid w:val="00EA06D1"/>
    <w:rsid w:val="00EA3250"/>
    <w:rsid w:val="00EA7434"/>
    <w:rsid w:val="00EA74C6"/>
    <w:rsid w:val="00EB0C06"/>
    <w:rsid w:val="00EB106B"/>
    <w:rsid w:val="00EB132D"/>
    <w:rsid w:val="00EB5A4F"/>
    <w:rsid w:val="00EB5B00"/>
    <w:rsid w:val="00EC1E26"/>
    <w:rsid w:val="00EC5EEE"/>
    <w:rsid w:val="00EC62D1"/>
    <w:rsid w:val="00EC7EA5"/>
    <w:rsid w:val="00ED00E9"/>
    <w:rsid w:val="00ED2E28"/>
    <w:rsid w:val="00ED5FEE"/>
    <w:rsid w:val="00ED637B"/>
    <w:rsid w:val="00ED6FE4"/>
    <w:rsid w:val="00ED7ECC"/>
    <w:rsid w:val="00EE0AA1"/>
    <w:rsid w:val="00EE2BF0"/>
    <w:rsid w:val="00EE2E68"/>
    <w:rsid w:val="00EE5977"/>
    <w:rsid w:val="00EF0950"/>
    <w:rsid w:val="00EF1775"/>
    <w:rsid w:val="00EF40A5"/>
    <w:rsid w:val="00EF558F"/>
    <w:rsid w:val="00EF79DD"/>
    <w:rsid w:val="00F0027E"/>
    <w:rsid w:val="00F00BAA"/>
    <w:rsid w:val="00F00E37"/>
    <w:rsid w:val="00F024E3"/>
    <w:rsid w:val="00F026F7"/>
    <w:rsid w:val="00F0362C"/>
    <w:rsid w:val="00F0673A"/>
    <w:rsid w:val="00F1135C"/>
    <w:rsid w:val="00F11A71"/>
    <w:rsid w:val="00F16EF6"/>
    <w:rsid w:val="00F16F63"/>
    <w:rsid w:val="00F2130F"/>
    <w:rsid w:val="00F22120"/>
    <w:rsid w:val="00F25BE7"/>
    <w:rsid w:val="00F26DC6"/>
    <w:rsid w:val="00F31114"/>
    <w:rsid w:val="00F32D46"/>
    <w:rsid w:val="00F32F89"/>
    <w:rsid w:val="00F36462"/>
    <w:rsid w:val="00F36F2E"/>
    <w:rsid w:val="00F37862"/>
    <w:rsid w:val="00F4587A"/>
    <w:rsid w:val="00F46A1E"/>
    <w:rsid w:val="00F476C6"/>
    <w:rsid w:val="00F51DC1"/>
    <w:rsid w:val="00F520C1"/>
    <w:rsid w:val="00F54784"/>
    <w:rsid w:val="00F57FE2"/>
    <w:rsid w:val="00F60FE1"/>
    <w:rsid w:val="00F70B48"/>
    <w:rsid w:val="00F70E25"/>
    <w:rsid w:val="00F716A5"/>
    <w:rsid w:val="00F771C4"/>
    <w:rsid w:val="00F7734D"/>
    <w:rsid w:val="00F80A17"/>
    <w:rsid w:val="00F90A10"/>
    <w:rsid w:val="00F91F45"/>
    <w:rsid w:val="00F93BF8"/>
    <w:rsid w:val="00F96F0C"/>
    <w:rsid w:val="00FA0394"/>
    <w:rsid w:val="00FA0651"/>
    <w:rsid w:val="00FA4C43"/>
    <w:rsid w:val="00FA5224"/>
    <w:rsid w:val="00FA7B02"/>
    <w:rsid w:val="00FB1057"/>
    <w:rsid w:val="00FB1348"/>
    <w:rsid w:val="00FB4F22"/>
    <w:rsid w:val="00FB6476"/>
    <w:rsid w:val="00FC3817"/>
    <w:rsid w:val="00FC6B4C"/>
    <w:rsid w:val="00FD012F"/>
    <w:rsid w:val="00FD2DF0"/>
    <w:rsid w:val="00FD6E5E"/>
    <w:rsid w:val="00FD7C58"/>
    <w:rsid w:val="00FE0145"/>
    <w:rsid w:val="00FE02FD"/>
    <w:rsid w:val="00FE2116"/>
    <w:rsid w:val="00FE3742"/>
    <w:rsid w:val="00FE39FE"/>
    <w:rsid w:val="00FF27C9"/>
    <w:rsid w:val="00FF5303"/>
    <w:rsid w:val="00FF63DC"/>
    <w:rsid w:val="00FF6981"/>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6980174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75C71"/>
    <w:pPr>
      <w:jc w:val="both"/>
    </w:pPr>
    <w:rPr>
      <w:rFonts w:ascii="Garamond" w:eastAsia="Times New Roman" w:hAnsi="Garamond"/>
      <w:sz w:val="24"/>
      <w:szCs w:val="24"/>
      <w:lang w:val="en-AU"/>
    </w:rPr>
  </w:style>
  <w:style w:type="paragraph" w:styleId="Heading1">
    <w:name w:val="heading 1"/>
    <w:basedOn w:val="Normal"/>
    <w:next w:val="Normal"/>
    <w:link w:val="Heading1Char"/>
    <w:uiPriority w:val="9"/>
    <w:qFormat/>
    <w:rsid w:val="00333640"/>
    <w:pPr>
      <w:keepNext/>
      <w:keepLines/>
      <w:spacing w:before="480"/>
      <w:outlineLvl w:val="0"/>
    </w:pPr>
    <w:rPr>
      <w:rFonts w:eastAsia="MS Gothic"/>
      <w:b/>
      <w:bCs/>
      <w:color w:val="CC6633"/>
      <w:sz w:val="32"/>
      <w:szCs w:val="32"/>
    </w:rPr>
  </w:style>
  <w:style w:type="paragraph" w:styleId="Heading2">
    <w:name w:val="heading 2"/>
    <w:basedOn w:val="Heading1"/>
    <w:next w:val="Normal"/>
    <w:link w:val="Heading2Char"/>
    <w:autoRedefine/>
    <w:uiPriority w:val="9"/>
    <w:unhideWhenUsed/>
    <w:qFormat/>
    <w:rsid w:val="002F5D88"/>
    <w:pPr>
      <w:spacing w:before="240" w:after="60"/>
      <w:outlineLvl w:val="1"/>
    </w:pPr>
    <w:rPr>
      <w:sz w:val="28"/>
      <w:szCs w:val="28"/>
    </w:rPr>
  </w:style>
  <w:style w:type="paragraph" w:styleId="Heading3">
    <w:name w:val="heading 3"/>
    <w:basedOn w:val="Heading2"/>
    <w:next w:val="Normal"/>
    <w:link w:val="Heading3Char"/>
    <w:uiPriority w:val="9"/>
    <w:unhideWhenUsed/>
    <w:qFormat/>
    <w:rsid w:val="007B4853"/>
    <w:pPr>
      <w:spacing w:before="200"/>
      <w:outlineLvl w:val="2"/>
    </w:pPr>
    <w:rPr>
      <w:color w:val="1F497D"/>
      <w:sz w:val="24"/>
      <w:szCs w:val="24"/>
    </w:rPr>
  </w:style>
  <w:style w:type="paragraph" w:styleId="Heading4">
    <w:name w:val="heading 4"/>
    <w:basedOn w:val="Normal"/>
    <w:next w:val="Normal"/>
    <w:link w:val="Heading4Char"/>
    <w:uiPriority w:val="9"/>
    <w:unhideWhenUsed/>
    <w:qFormat/>
    <w:rsid w:val="008B4002"/>
    <w:pPr>
      <w:keepNext/>
      <w:keepLines/>
      <w:spacing w:before="200"/>
      <w:outlineLvl w:val="3"/>
    </w:pPr>
    <w:rPr>
      <w:rFonts w:eastAsia="MS Gothic"/>
      <w:b/>
      <w:bCs/>
      <w:iCs/>
      <w:color w:val="4F81B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2F5D88"/>
    <w:rPr>
      <w:rFonts w:ascii="Garamond" w:eastAsia="MS Gothic" w:hAnsi="Garamond"/>
      <w:b/>
      <w:bCs/>
      <w:color w:val="CC6633"/>
      <w:sz w:val="28"/>
      <w:szCs w:val="28"/>
      <w:lang w:val="en-AU"/>
    </w:rPr>
  </w:style>
  <w:style w:type="character" w:customStyle="1" w:styleId="Heading1Char">
    <w:name w:val="Heading 1 Char"/>
    <w:link w:val="Heading1"/>
    <w:uiPriority w:val="9"/>
    <w:rsid w:val="00333640"/>
    <w:rPr>
      <w:rFonts w:ascii="Verdana" w:eastAsia="MS Gothic" w:hAnsi="Verdana" w:cs="Times New Roman"/>
      <w:b/>
      <w:bCs/>
      <w:color w:val="CC6633"/>
      <w:sz w:val="32"/>
      <w:szCs w:val="32"/>
    </w:rPr>
  </w:style>
  <w:style w:type="paragraph" w:styleId="Header">
    <w:name w:val="header"/>
    <w:basedOn w:val="Normal"/>
    <w:link w:val="HeaderChar"/>
    <w:uiPriority w:val="99"/>
    <w:unhideWhenUsed/>
    <w:rsid w:val="008866B3"/>
    <w:pPr>
      <w:tabs>
        <w:tab w:val="center" w:pos="4320"/>
        <w:tab w:val="right" w:pos="8640"/>
      </w:tabs>
    </w:pPr>
  </w:style>
  <w:style w:type="character" w:customStyle="1" w:styleId="HeaderChar">
    <w:name w:val="Header Char"/>
    <w:link w:val="Header"/>
    <w:uiPriority w:val="99"/>
    <w:rsid w:val="008866B3"/>
    <w:rPr>
      <w:rFonts w:ascii="Arial" w:hAnsi="Arial" w:cs="Times New Roman"/>
      <w:szCs w:val="24"/>
    </w:rPr>
  </w:style>
  <w:style w:type="paragraph" w:styleId="Footer">
    <w:name w:val="footer"/>
    <w:basedOn w:val="Normal"/>
    <w:link w:val="FooterChar"/>
    <w:uiPriority w:val="99"/>
    <w:unhideWhenUsed/>
    <w:rsid w:val="008866B3"/>
    <w:pPr>
      <w:tabs>
        <w:tab w:val="center" w:pos="4320"/>
        <w:tab w:val="right" w:pos="8640"/>
      </w:tabs>
    </w:pPr>
  </w:style>
  <w:style w:type="character" w:customStyle="1" w:styleId="FooterChar">
    <w:name w:val="Footer Char"/>
    <w:link w:val="Footer"/>
    <w:uiPriority w:val="99"/>
    <w:rsid w:val="008866B3"/>
    <w:rPr>
      <w:rFonts w:ascii="Arial" w:hAnsi="Arial" w:cs="Times New Roman"/>
      <w:szCs w:val="24"/>
    </w:rPr>
  </w:style>
  <w:style w:type="character" w:styleId="PageNumber">
    <w:name w:val="page number"/>
    <w:basedOn w:val="DefaultParagraphFont"/>
    <w:uiPriority w:val="99"/>
    <w:semiHidden/>
    <w:unhideWhenUsed/>
    <w:rsid w:val="008866B3"/>
  </w:style>
  <w:style w:type="character" w:customStyle="1" w:styleId="Heading4Char">
    <w:name w:val="Heading 4 Char"/>
    <w:link w:val="Heading4"/>
    <w:uiPriority w:val="9"/>
    <w:rsid w:val="008B4002"/>
    <w:rPr>
      <w:rFonts w:ascii="Verdana" w:eastAsia="MS Gothic" w:hAnsi="Verdana" w:cs="Times New Roman"/>
      <w:b/>
      <w:bCs/>
      <w:iCs/>
      <w:color w:val="4F81BD"/>
      <w:szCs w:val="24"/>
    </w:rPr>
  </w:style>
  <w:style w:type="paragraph" w:customStyle="1" w:styleId="Sidebar">
    <w:name w:val="Sidebar"/>
    <w:basedOn w:val="Normal"/>
    <w:qFormat/>
    <w:rsid w:val="00333640"/>
    <w:pPr>
      <w:pBdr>
        <w:top w:val="single" w:sz="6" w:space="11" w:color="DFCE9D"/>
        <w:left w:val="single" w:sz="6" w:space="11" w:color="DFCE9D"/>
        <w:bottom w:val="single" w:sz="6" w:space="11" w:color="DFCE9D"/>
        <w:right w:val="single" w:sz="6" w:space="11" w:color="DFCE9D"/>
      </w:pBdr>
      <w:shd w:val="clear" w:color="auto" w:fill="F5F0DA"/>
      <w:ind w:left="2897" w:right="91"/>
    </w:pPr>
    <w:rPr>
      <w:color w:val="404040"/>
      <w:szCs w:val="20"/>
    </w:rPr>
  </w:style>
  <w:style w:type="character" w:customStyle="1" w:styleId="Heading3Char">
    <w:name w:val="Heading 3 Char"/>
    <w:link w:val="Heading3"/>
    <w:uiPriority w:val="9"/>
    <w:rsid w:val="007B4853"/>
    <w:rPr>
      <w:rFonts w:ascii="Cambria" w:eastAsia="MS Gothic" w:hAnsi="Cambria"/>
      <w:b/>
      <w:bCs/>
      <w:color w:val="1F497D"/>
      <w:sz w:val="24"/>
      <w:szCs w:val="24"/>
    </w:rPr>
  </w:style>
  <w:style w:type="character" w:styleId="Hyperlink">
    <w:name w:val="Hyperlink"/>
    <w:rsid w:val="00E83861"/>
    <w:rPr>
      <w:rFonts w:cs="Times New Roman"/>
      <w:color w:val="660066"/>
      <w:u w:val="none"/>
      <w:effect w:val="none"/>
    </w:rPr>
  </w:style>
  <w:style w:type="paragraph" w:styleId="NormalWeb">
    <w:name w:val="Normal (Web)"/>
    <w:basedOn w:val="Normal"/>
    <w:uiPriority w:val="99"/>
    <w:rsid w:val="00E83861"/>
    <w:pPr>
      <w:spacing w:before="100" w:beforeAutospacing="1" w:after="100" w:afterAutospacing="1"/>
    </w:pPr>
    <w:rPr>
      <w:rFonts w:ascii="Times New Roman" w:eastAsia="MS Mincho" w:hAnsi="Times New Roman" w:cs="Arial"/>
      <w:iCs/>
      <w:szCs w:val="19"/>
      <w:lang w:eastAsia="zh-CN"/>
    </w:rPr>
  </w:style>
  <w:style w:type="paragraph" w:styleId="BalloonText">
    <w:name w:val="Balloon Text"/>
    <w:basedOn w:val="Normal"/>
    <w:link w:val="BalloonTextChar"/>
    <w:uiPriority w:val="99"/>
    <w:semiHidden/>
    <w:unhideWhenUsed/>
    <w:rsid w:val="002F4506"/>
    <w:rPr>
      <w:rFonts w:ascii="Lucida Grande" w:hAnsi="Lucida Grande" w:cs="Lucida Grande"/>
      <w:sz w:val="18"/>
      <w:szCs w:val="18"/>
    </w:rPr>
  </w:style>
  <w:style w:type="character" w:customStyle="1" w:styleId="BalloonTextChar">
    <w:name w:val="Balloon Text Char"/>
    <w:link w:val="BalloonText"/>
    <w:uiPriority w:val="99"/>
    <w:semiHidden/>
    <w:rsid w:val="002F4506"/>
    <w:rPr>
      <w:rFonts w:ascii="Lucida Grande" w:hAnsi="Lucida Grande" w:cs="Lucida Grande"/>
      <w:sz w:val="18"/>
      <w:szCs w:val="18"/>
    </w:rPr>
  </w:style>
  <w:style w:type="paragraph" w:styleId="ListParagraph">
    <w:name w:val="List Paragraph"/>
    <w:basedOn w:val="Normal"/>
    <w:uiPriority w:val="34"/>
    <w:qFormat/>
    <w:rsid w:val="004929B5"/>
    <w:pPr>
      <w:ind w:left="720"/>
      <w:contextualSpacing/>
    </w:pPr>
  </w:style>
  <w:style w:type="table" w:styleId="TableGrid">
    <w:name w:val="Table Grid"/>
    <w:basedOn w:val="TableNormal"/>
    <w:uiPriority w:val="59"/>
    <w:rsid w:val="00B023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A4337F"/>
    <w:rPr>
      <w:rFonts w:ascii="Courier" w:eastAsia="MS Mincho" w:hAnsi="Courier"/>
      <w:sz w:val="21"/>
      <w:szCs w:val="21"/>
      <w:lang w:val="x-none" w:eastAsia="x-none"/>
    </w:rPr>
  </w:style>
  <w:style w:type="character" w:customStyle="1" w:styleId="PlainTextChar">
    <w:name w:val="Plain Text Char"/>
    <w:link w:val="PlainText"/>
    <w:uiPriority w:val="99"/>
    <w:rsid w:val="00A4337F"/>
    <w:rPr>
      <w:rFonts w:ascii="Courier" w:eastAsia="MS Mincho" w:hAnsi="Courier"/>
      <w:sz w:val="21"/>
      <w:szCs w:val="21"/>
      <w:lang w:val="x-none" w:eastAsia="x-none"/>
    </w:rPr>
  </w:style>
  <w:style w:type="character" w:styleId="CommentReference">
    <w:name w:val="annotation reference"/>
    <w:uiPriority w:val="99"/>
    <w:semiHidden/>
    <w:unhideWhenUsed/>
    <w:rsid w:val="00A4337F"/>
    <w:rPr>
      <w:sz w:val="18"/>
      <w:szCs w:val="18"/>
    </w:rPr>
  </w:style>
  <w:style w:type="paragraph" w:styleId="CommentText">
    <w:name w:val="annotation text"/>
    <w:basedOn w:val="Normal"/>
    <w:link w:val="CommentTextChar"/>
    <w:uiPriority w:val="99"/>
    <w:semiHidden/>
    <w:unhideWhenUsed/>
    <w:rsid w:val="00A4337F"/>
    <w:rPr>
      <w:rFonts w:ascii="Arial" w:eastAsia="MS Mincho" w:hAnsi="Arial"/>
      <w:lang w:eastAsia="ja-JP"/>
    </w:rPr>
  </w:style>
  <w:style w:type="character" w:customStyle="1" w:styleId="CommentTextChar">
    <w:name w:val="Comment Text Char"/>
    <w:link w:val="CommentText"/>
    <w:uiPriority w:val="99"/>
    <w:semiHidden/>
    <w:rsid w:val="00A4337F"/>
    <w:rPr>
      <w:rFonts w:ascii="Arial" w:eastAsia="MS Mincho" w:hAnsi="Arial"/>
      <w:sz w:val="24"/>
      <w:szCs w:val="24"/>
      <w:lang w:eastAsia="ja-JP"/>
    </w:rPr>
  </w:style>
  <w:style w:type="character" w:styleId="FollowedHyperlink">
    <w:name w:val="FollowedHyperlink"/>
    <w:uiPriority w:val="99"/>
    <w:semiHidden/>
    <w:unhideWhenUsed/>
    <w:rsid w:val="00D7568D"/>
    <w:rPr>
      <w:color w:val="800080"/>
      <w:u w:val="single"/>
    </w:rPr>
  </w:style>
  <w:style w:type="paragraph" w:customStyle="1" w:styleId="sidebar0">
    <w:name w:val="sidebar"/>
    <w:basedOn w:val="Normal"/>
    <w:rsid w:val="002E2F02"/>
    <w:pPr>
      <w:pBdr>
        <w:top w:val="single" w:sz="6" w:space="11" w:color="DFCE9D"/>
        <w:left w:val="single" w:sz="6" w:space="11" w:color="DFCE9D"/>
        <w:bottom w:val="single" w:sz="6" w:space="11" w:color="DFCE9D"/>
        <w:right w:val="single" w:sz="6" w:space="11" w:color="DFCE9D"/>
      </w:pBdr>
      <w:shd w:val="clear" w:color="auto" w:fill="F5F0DA"/>
      <w:ind w:left="2897" w:right="91"/>
    </w:pPr>
    <w:rPr>
      <w:rFonts w:ascii="Arial" w:eastAsia="MS Mincho" w:hAnsi="Arial" w:cs="Arial"/>
      <w:iCs/>
      <w:color w:val="505050"/>
      <w:sz w:val="20"/>
      <w:szCs w:val="19"/>
      <w:lang w:eastAsia="zh-CN"/>
    </w:rPr>
  </w:style>
  <w:style w:type="paragraph" w:styleId="FootnoteText">
    <w:name w:val="footnote text"/>
    <w:basedOn w:val="Normal"/>
    <w:link w:val="FootnoteTextChar"/>
    <w:uiPriority w:val="99"/>
    <w:unhideWhenUsed/>
    <w:rsid w:val="00111F4B"/>
  </w:style>
  <w:style w:type="character" w:customStyle="1" w:styleId="FootnoteTextChar">
    <w:name w:val="Footnote Text Char"/>
    <w:link w:val="FootnoteText"/>
    <w:uiPriority w:val="99"/>
    <w:rsid w:val="00111F4B"/>
    <w:rPr>
      <w:rFonts w:ascii="Verdana" w:hAnsi="Verdana"/>
      <w:sz w:val="24"/>
      <w:szCs w:val="24"/>
    </w:rPr>
  </w:style>
  <w:style w:type="character" w:styleId="FootnoteReference">
    <w:name w:val="footnote reference"/>
    <w:uiPriority w:val="99"/>
    <w:unhideWhenUsed/>
    <w:rsid w:val="00111F4B"/>
    <w:rPr>
      <w:vertAlign w:val="superscript"/>
    </w:rPr>
  </w:style>
  <w:style w:type="character" w:styleId="UnresolvedMention">
    <w:name w:val="Unresolved Mention"/>
    <w:basedOn w:val="DefaultParagraphFont"/>
    <w:uiPriority w:val="99"/>
    <w:rsid w:val="00833902"/>
    <w:rPr>
      <w:color w:val="808080"/>
      <w:shd w:val="clear" w:color="auto" w:fill="E6E6E6"/>
    </w:rPr>
  </w:style>
  <w:style w:type="character" w:customStyle="1" w:styleId="apple-converted-space">
    <w:name w:val="apple-converted-space"/>
    <w:basedOn w:val="DefaultParagraphFont"/>
    <w:rsid w:val="000963BC"/>
  </w:style>
  <w:style w:type="paragraph" w:styleId="HTMLPreformatted">
    <w:name w:val="HTML Preformatted"/>
    <w:basedOn w:val="Normal"/>
    <w:link w:val="HTMLPreformattedChar"/>
    <w:uiPriority w:val="99"/>
    <w:semiHidden/>
    <w:unhideWhenUsed/>
    <w:rsid w:val="00C55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55F1E"/>
    <w:rPr>
      <w:rFonts w:ascii="Courier New" w:eastAsia="Times New Roman" w:hAnsi="Courier New" w:cs="Courier New"/>
      <w:lang w:val="en-AU"/>
    </w:rPr>
  </w:style>
  <w:style w:type="character" w:customStyle="1" w:styleId="h1">
    <w:name w:val="h1"/>
    <w:basedOn w:val="DefaultParagraphFont"/>
    <w:rsid w:val="00C55F1E"/>
  </w:style>
  <w:style w:type="character" w:styleId="Emphasis">
    <w:name w:val="Emphasis"/>
    <w:basedOn w:val="DefaultParagraphFont"/>
    <w:uiPriority w:val="20"/>
    <w:qFormat/>
    <w:rsid w:val="000428C1"/>
    <w:rPr>
      <w:i/>
      <w:iCs/>
    </w:rPr>
  </w:style>
  <w:style w:type="paragraph" w:styleId="Quote">
    <w:name w:val="Quote"/>
    <w:basedOn w:val="Normal"/>
    <w:next w:val="Normal"/>
    <w:link w:val="QuoteChar"/>
    <w:uiPriority w:val="29"/>
    <w:qFormat/>
    <w:rsid w:val="00C55F1E"/>
    <w:pPr>
      <w:spacing w:before="200" w:after="160"/>
      <w:ind w:left="864" w:right="864"/>
      <w:jc w:val="left"/>
    </w:pPr>
    <w:rPr>
      <w:rFonts w:ascii="Courier New" w:hAnsi="Courier New"/>
      <w:iCs/>
      <w:color w:val="404040" w:themeColor="text1" w:themeTint="BF"/>
      <w:sz w:val="18"/>
    </w:rPr>
  </w:style>
  <w:style w:type="character" w:customStyle="1" w:styleId="QuoteChar">
    <w:name w:val="Quote Char"/>
    <w:basedOn w:val="DefaultParagraphFont"/>
    <w:link w:val="Quote"/>
    <w:uiPriority w:val="29"/>
    <w:rsid w:val="00C55F1E"/>
    <w:rPr>
      <w:rFonts w:ascii="Courier New" w:hAnsi="Courier New"/>
      <w:iCs/>
      <w:color w:val="404040" w:themeColor="text1" w:themeTint="BF"/>
      <w:sz w:val="18"/>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2535">
      <w:bodyDiv w:val="1"/>
      <w:marLeft w:val="0"/>
      <w:marRight w:val="0"/>
      <w:marTop w:val="0"/>
      <w:marBottom w:val="0"/>
      <w:divBdr>
        <w:top w:val="none" w:sz="0" w:space="0" w:color="auto"/>
        <w:left w:val="none" w:sz="0" w:space="0" w:color="auto"/>
        <w:bottom w:val="none" w:sz="0" w:space="0" w:color="auto"/>
        <w:right w:val="none" w:sz="0" w:space="0" w:color="auto"/>
      </w:divBdr>
    </w:div>
    <w:div w:id="52657825">
      <w:bodyDiv w:val="1"/>
      <w:marLeft w:val="0"/>
      <w:marRight w:val="0"/>
      <w:marTop w:val="0"/>
      <w:marBottom w:val="0"/>
      <w:divBdr>
        <w:top w:val="none" w:sz="0" w:space="0" w:color="auto"/>
        <w:left w:val="none" w:sz="0" w:space="0" w:color="auto"/>
        <w:bottom w:val="none" w:sz="0" w:space="0" w:color="auto"/>
        <w:right w:val="none" w:sz="0" w:space="0" w:color="auto"/>
      </w:divBdr>
    </w:div>
    <w:div w:id="156461709">
      <w:bodyDiv w:val="1"/>
      <w:marLeft w:val="0"/>
      <w:marRight w:val="0"/>
      <w:marTop w:val="0"/>
      <w:marBottom w:val="0"/>
      <w:divBdr>
        <w:top w:val="none" w:sz="0" w:space="0" w:color="auto"/>
        <w:left w:val="none" w:sz="0" w:space="0" w:color="auto"/>
        <w:bottom w:val="none" w:sz="0" w:space="0" w:color="auto"/>
        <w:right w:val="none" w:sz="0" w:space="0" w:color="auto"/>
      </w:divBdr>
    </w:div>
    <w:div w:id="208104299">
      <w:bodyDiv w:val="1"/>
      <w:marLeft w:val="0"/>
      <w:marRight w:val="0"/>
      <w:marTop w:val="0"/>
      <w:marBottom w:val="0"/>
      <w:divBdr>
        <w:top w:val="none" w:sz="0" w:space="0" w:color="auto"/>
        <w:left w:val="none" w:sz="0" w:space="0" w:color="auto"/>
        <w:bottom w:val="none" w:sz="0" w:space="0" w:color="auto"/>
        <w:right w:val="none" w:sz="0" w:space="0" w:color="auto"/>
      </w:divBdr>
    </w:div>
    <w:div w:id="247737405">
      <w:bodyDiv w:val="1"/>
      <w:marLeft w:val="0"/>
      <w:marRight w:val="0"/>
      <w:marTop w:val="0"/>
      <w:marBottom w:val="0"/>
      <w:divBdr>
        <w:top w:val="none" w:sz="0" w:space="0" w:color="auto"/>
        <w:left w:val="none" w:sz="0" w:space="0" w:color="auto"/>
        <w:bottom w:val="none" w:sz="0" w:space="0" w:color="auto"/>
        <w:right w:val="none" w:sz="0" w:space="0" w:color="auto"/>
      </w:divBdr>
    </w:div>
    <w:div w:id="325012697">
      <w:bodyDiv w:val="1"/>
      <w:marLeft w:val="0"/>
      <w:marRight w:val="0"/>
      <w:marTop w:val="0"/>
      <w:marBottom w:val="0"/>
      <w:divBdr>
        <w:top w:val="none" w:sz="0" w:space="0" w:color="auto"/>
        <w:left w:val="none" w:sz="0" w:space="0" w:color="auto"/>
        <w:bottom w:val="none" w:sz="0" w:space="0" w:color="auto"/>
        <w:right w:val="none" w:sz="0" w:space="0" w:color="auto"/>
      </w:divBdr>
    </w:div>
    <w:div w:id="357783226">
      <w:bodyDiv w:val="1"/>
      <w:marLeft w:val="0"/>
      <w:marRight w:val="0"/>
      <w:marTop w:val="0"/>
      <w:marBottom w:val="0"/>
      <w:divBdr>
        <w:top w:val="none" w:sz="0" w:space="0" w:color="auto"/>
        <w:left w:val="none" w:sz="0" w:space="0" w:color="auto"/>
        <w:bottom w:val="none" w:sz="0" w:space="0" w:color="auto"/>
        <w:right w:val="none" w:sz="0" w:space="0" w:color="auto"/>
      </w:divBdr>
    </w:div>
    <w:div w:id="371853873">
      <w:bodyDiv w:val="1"/>
      <w:marLeft w:val="0"/>
      <w:marRight w:val="0"/>
      <w:marTop w:val="0"/>
      <w:marBottom w:val="0"/>
      <w:divBdr>
        <w:top w:val="none" w:sz="0" w:space="0" w:color="auto"/>
        <w:left w:val="none" w:sz="0" w:space="0" w:color="auto"/>
        <w:bottom w:val="none" w:sz="0" w:space="0" w:color="auto"/>
        <w:right w:val="none" w:sz="0" w:space="0" w:color="auto"/>
      </w:divBdr>
    </w:div>
    <w:div w:id="388848244">
      <w:bodyDiv w:val="1"/>
      <w:marLeft w:val="0"/>
      <w:marRight w:val="0"/>
      <w:marTop w:val="0"/>
      <w:marBottom w:val="0"/>
      <w:divBdr>
        <w:top w:val="none" w:sz="0" w:space="0" w:color="auto"/>
        <w:left w:val="none" w:sz="0" w:space="0" w:color="auto"/>
        <w:bottom w:val="none" w:sz="0" w:space="0" w:color="auto"/>
        <w:right w:val="none" w:sz="0" w:space="0" w:color="auto"/>
      </w:divBdr>
    </w:div>
    <w:div w:id="468596674">
      <w:bodyDiv w:val="1"/>
      <w:marLeft w:val="0"/>
      <w:marRight w:val="0"/>
      <w:marTop w:val="0"/>
      <w:marBottom w:val="0"/>
      <w:divBdr>
        <w:top w:val="none" w:sz="0" w:space="0" w:color="auto"/>
        <w:left w:val="none" w:sz="0" w:space="0" w:color="auto"/>
        <w:bottom w:val="none" w:sz="0" w:space="0" w:color="auto"/>
        <w:right w:val="none" w:sz="0" w:space="0" w:color="auto"/>
      </w:divBdr>
    </w:div>
    <w:div w:id="501897783">
      <w:bodyDiv w:val="1"/>
      <w:marLeft w:val="0"/>
      <w:marRight w:val="0"/>
      <w:marTop w:val="0"/>
      <w:marBottom w:val="0"/>
      <w:divBdr>
        <w:top w:val="none" w:sz="0" w:space="0" w:color="auto"/>
        <w:left w:val="none" w:sz="0" w:space="0" w:color="auto"/>
        <w:bottom w:val="none" w:sz="0" w:space="0" w:color="auto"/>
        <w:right w:val="none" w:sz="0" w:space="0" w:color="auto"/>
      </w:divBdr>
    </w:div>
    <w:div w:id="683242408">
      <w:bodyDiv w:val="1"/>
      <w:marLeft w:val="0"/>
      <w:marRight w:val="0"/>
      <w:marTop w:val="0"/>
      <w:marBottom w:val="0"/>
      <w:divBdr>
        <w:top w:val="none" w:sz="0" w:space="0" w:color="auto"/>
        <w:left w:val="none" w:sz="0" w:space="0" w:color="auto"/>
        <w:bottom w:val="none" w:sz="0" w:space="0" w:color="auto"/>
        <w:right w:val="none" w:sz="0" w:space="0" w:color="auto"/>
      </w:divBdr>
    </w:div>
    <w:div w:id="931209693">
      <w:bodyDiv w:val="1"/>
      <w:marLeft w:val="0"/>
      <w:marRight w:val="0"/>
      <w:marTop w:val="0"/>
      <w:marBottom w:val="0"/>
      <w:divBdr>
        <w:top w:val="none" w:sz="0" w:space="0" w:color="auto"/>
        <w:left w:val="none" w:sz="0" w:space="0" w:color="auto"/>
        <w:bottom w:val="none" w:sz="0" w:space="0" w:color="auto"/>
        <w:right w:val="none" w:sz="0" w:space="0" w:color="auto"/>
      </w:divBdr>
    </w:div>
    <w:div w:id="1041786336">
      <w:bodyDiv w:val="1"/>
      <w:marLeft w:val="0"/>
      <w:marRight w:val="0"/>
      <w:marTop w:val="0"/>
      <w:marBottom w:val="0"/>
      <w:divBdr>
        <w:top w:val="none" w:sz="0" w:space="0" w:color="auto"/>
        <w:left w:val="none" w:sz="0" w:space="0" w:color="auto"/>
        <w:bottom w:val="none" w:sz="0" w:space="0" w:color="auto"/>
        <w:right w:val="none" w:sz="0" w:space="0" w:color="auto"/>
      </w:divBdr>
    </w:div>
    <w:div w:id="1072654907">
      <w:bodyDiv w:val="1"/>
      <w:marLeft w:val="0"/>
      <w:marRight w:val="0"/>
      <w:marTop w:val="0"/>
      <w:marBottom w:val="0"/>
      <w:divBdr>
        <w:top w:val="none" w:sz="0" w:space="0" w:color="auto"/>
        <w:left w:val="none" w:sz="0" w:space="0" w:color="auto"/>
        <w:bottom w:val="none" w:sz="0" w:space="0" w:color="auto"/>
        <w:right w:val="none" w:sz="0" w:space="0" w:color="auto"/>
      </w:divBdr>
    </w:div>
    <w:div w:id="1096440994">
      <w:bodyDiv w:val="1"/>
      <w:marLeft w:val="0"/>
      <w:marRight w:val="0"/>
      <w:marTop w:val="0"/>
      <w:marBottom w:val="0"/>
      <w:divBdr>
        <w:top w:val="none" w:sz="0" w:space="0" w:color="auto"/>
        <w:left w:val="none" w:sz="0" w:space="0" w:color="auto"/>
        <w:bottom w:val="none" w:sz="0" w:space="0" w:color="auto"/>
        <w:right w:val="none" w:sz="0" w:space="0" w:color="auto"/>
      </w:divBdr>
    </w:div>
    <w:div w:id="1179272187">
      <w:bodyDiv w:val="1"/>
      <w:marLeft w:val="0"/>
      <w:marRight w:val="0"/>
      <w:marTop w:val="0"/>
      <w:marBottom w:val="0"/>
      <w:divBdr>
        <w:top w:val="none" w:sz="0" w:space="0" w:color="auto"/>
        <w:left w:val="none" w:sz="0" w:space="0" w:color="auto"/>
        <w:bottom w:val="none" w:sz="0" w:space="0" w:color="auto"/>
        <w:right w:val="none" w:sz="0" w:space="0" w:color="auto"/>
      </w:divBdr>
    </w:div>
    <w:div w:id="1213690045">
      <w:bodyDiv w:val="1"/>
      <w:marLeft w:val="0"/>
      <w:marRight w:val="0"/>
      <w:marTop w:val="0"/>
      <w:marBottom w:val="0"/>
      <w:divBdr>
        <w:top w:val="none" w:sz="0" w:space="0" w:color="auto"/>
        <w:left w:val="none" w:sz="0" w:space="0" w:color="auto"/>
        <w:bottom w:val="none" w:sz="0" w:space="0" w:color="auto"/>
        <w:right w:val="none" w:sz="0" w:space="0" w:color="auto"/>
      </w:divBdr>
    </w:div>
    <w:div w:id="1265042306">
      <w:bodyDiv w:val="1"/>
      <w:marLeft w:val="0"/>
      <w:marRight w:val="0"/>
      <w:marTop w:val="0"/>
      <w:marBottom w:val="0"/>
      <w:divBdr>
        <w:top w:val="none" w:sz="0" w:space="0" w:color="auto"/>
        <w:left w:val="none" w:sz="0" w:space="0" w:color="auto"/>
        <w:bottom w:val="none" w:sz="0" w:space="0" w:color="auto"/>
        <w:right w:val="none" w:sz="0" w:space="0" w:color="auto"/>
      </w:divBdr>
    </w:div>
    <w:div w:id="1348949689">
      <w:bodyDiv w:val="1"/>
      <w:marLeft w:val="0"/>
      <w:marRight w:val="0"/>
      <w:marTop w:val="0"/>
      <w:marBottom w:val="0"/>
      <w:divBdr>
        <w:top w:val="none" w:sz="0" w:space="0" w:color="auto"/>
        <w:left w:val="none" w:sz="0" w:space="0" w:color="auto"/>
        <w:bottom w:val="none" w:sz="0" w:space="0" w:color="auto"/>
        <w:right w:val="none" w:sz="0" w:space="0" w:color="auto"/>
      </w:divBdr>
    </w:div>
    <w:div w:id="1351908620">
      <w:bodyDiv w:val="1"/>
      <w:marLeft w:val="0"/>
      <w:marRight w:val="0"/>
      <w:marTop w:val="0"/>
      <w:marBottom w:val="0"/>
      <w:divBdr>
        <w:top w:val="none" w:sz="0" w:space="0" w:color="auto"/>
        <w:left w:val="none" w:sz="0" w:space="0" w:color="auto"/>
        <w:bottom w:val="none" w:sz="0" w:space="0" w:color="auto"/>
        <w:right w:val="none" w:sz="0" w:space="0" w:color="auto"/>
      </w:divBdr>
    </w:div>
    <w:div w:id="1425608930">
      <w:bodyDiv w:val="1"/>
      <w:marLeft w:val="0"/>
      <w:marRight w:val="0"/>
      <w:marTop w:val="0"/>
      <w:marBottom w:val="0"/>
      <w:divBdr>
        <w:top w:val="none" w:sz="0" w:space="0" w:color="auto"/>
        <w:left w:val="none" w:sz="0" w:space="0" w:color="auto"/>
        <w:bottom w:val="none" w:sz="0" w:space="0" w:color="auto"/>
        <w:right w:val="none" w:sz="0" w:space="0" w:color="auto"/>
      </w:divBdr>
      <w:divsChild>
        <w:div w:id="213857986">
          <w:marLeft w:val="0"/>
          <w:marRight w:val="0"/>
          <w:marTop w:val="0"/>
          <w:marBottom w:val="0"/>
          <w:divBdr>
            <w:top w:val="none" w:sz="0" w:space="0" w:color="auto"/>
            <w:left w:val="none" w:sz="0" w:space="0" w:color="auto"/>
            <w:bottom w:val="none" w:sz="0" w:space="0" w:color="auto"/>
            <w:right w:val="none" w:sz="0" w:space="0" w:color="auto"/>
          </w:divBdr>
        </w:div>
        <w:div w:id="1151484545">
          <w:marLeft w:val="0"/>
          <w:marRight w:val="0"/>
          <w:marTop w:val="0"/>
          <w:marBottom w:val="0"/>
          <w:divBdr>
            <w:top w:val="none" w:sz="0" w:space="0" w:color="auto"/>
            <w:left w:val="none" w:sz="0" w:space="0" w:color="auto"/>
            <w:bottom w:val="none" w:sz="0" w:space="0" w:color="auto"/>
            <w:right w:val="none" w:sz="0" w:space="0" w:color="auto"/>
          </w:divBdr>
        </w:div>
        <w:div w:id="1930001179">
          <w:marLeft w:val="0"/>
          <w:marRight w:val="0"/>
          <w:marTop w:val="0"/>
          <w:marBottom w:val="0"/>
          <w:divBdr>
            <w:top w:val="none" w:sz="0" w:space="0" w:color="auto"/>
            <w:left w:val="none" w:sz="0" w:space="0" w:color="auto"/>
            <w:bottom w:val="none" w:sz="0" w:space="0" w:color="auto"/>
            <w:right w:val="none" w:sz="0" w:space="0" w:color="auto"/>
          </w:divBdr>
        </w:div>
        <w:div w:id="1790513318">
          <w:marLeft w:val="0"/>
          <w:marRight w:val="0"/>
          <w:marTop w:val="0"/>
          <w:marBottom w:val="0"/>
          <w:divBdr>
            <w:top w:val="none" w:sz="0" w:space="0" w:color="auto"/>
            <w:left w:val="none" w:sz="0" w:space="0" w:color="auto"/>
            <w:bottom w:val="none" w:sz="0" w:space="0" w:color="auto"/>
            <w:right w:val="none" w:sz="0" w:space="0" w:color="auto"/>
          </w:divBdr>
        </w:div>
        <w:div w:id="1228884894">
          <w:marLeft w:val="0"/>
          <w:marRight w:val="0"/>
          <w:marTop w:val="0"/>
          <w:marBottom w:val="0"/>
          <w:divBdr>
            <w:top w:val="none" w:sz="0" w:space="0" w:color="auto"/>
            <w:left w:val="none" w:sz="0" w:space="0" w:color="auto"/>
            <w:bottom w:val="none" w:sz="0" w:space="0" w:color="auto"/>
            <w:right w:val="none" w:sz="0" w:space="0" w:color="auto"/>
          </w:divBdr>
        </w:div>
        <w:div w:id="2037727845">
          <w:marLeft w:val="0"/>
          <w:marRight w:val="0"/>
          <w:marTop w:val="0"/>
          <w:marBottom w:val="0"/>
          <w:divBdr>
            <w:top w:val="none" w:sz="0" w:space="0" w:color="auto"/>
            <w:left w:val="none" w:sz="0" w:space="0" w:color="auto"/>
            <w:bottom w:val="none" w:sz="0" w:space="0" w:color="auto"/>
            <w:right w:val="none" w:sz="0" w:space="0" w:color="auto"/>
          </w:divBdr>
        </w:div>
        <w:div w:id="691105815">
          <w:marLeft w:val="0"/>
          <w:marRight w:val="0"/>
          <w:marTop w:val="0"/>
          <w:marBottom w:val="0"/>
          <w:divBdr>
            <w:top w:val="none" w:sz="0" w:space="0" w:color="auto"/>
            <w:left w:val="none" w:sz="0" w:space="0" w:color="auto"/>
            <w:bottom w:val="none" w:sz="0" w:space="0" w:color="auto"/>
            <w:right w:val="none" w:sz="0" w:space="0" w:color="auto"/>
          </w:divBdr>
        </w:div>
        <w:div w:id="1580360730">
          <w:marLeft w:val="0"/>
          <w:marRight w:val="0"/>
          <w:marTop w:val="0"/>
          <w:marBottom w:val="0"/>
          <w:divBdr>
            <w:top w:val="none" w:sz="0" w:space="0" w:color="auto"/>
            <w:left w:val="none" w:sz="0" w:space="0" w:color="auto"/>
            <w:bottom w:val="none" w:sz="0" w:space="0" w:color="auto"/>
            <w:right w:val="none" w:sz="0" w:space="0" w:color="auto"/>
          </w:divBdr>
        </w:div>
        <w:div w:id="1867325842">
          <w:marLeft w:val="0"/>
          <w:marRight w:val="0"/>
          <w:marTop w:val="0"/>
          <w:marBottom w:val="0"/>
          <w:divBdr>
            <w:top w:val="none" w:sz="0" w:space="0" w:color="auto"/>
            <w:left w:val="none" w:sz="0" w:space="0" w:color="auto"/>
            <w:bottom w:val="none" w:sz="0" w:space="0" w:color="auto"/>
            <w:right w:val="none" w:sz="0" w:space="0" w:color="auto"/>
          </w:divBdr>
        </w:div>
        <w:div w:id="1927762228">
          <w:marLeft w:val="0"/>
          <w:marRight w:val="0"/>
          <w:marTop w:val="0"/>
          <w:marBottom w:val="0"/>
          <w:divBdr>
            <w:top w:val="none" w:sz="0" w:space="0" w:color="auto"/>
            <w:left w:val="none" w:sz="0" w:space="0" w:color="auto"/>
            <w:bottom w:val="none" w:sz="0" w:space="0" w:color="auto"/>
            <w:right w:val="none" w:sz="0" w:space="0" w:color="auto"/>
          </w:divBdr>
        </w:div>
        <w:div w:id="1397507572">
          <w:marLeft w:val="0"/>
          <w:marRight w:val="0"/>
          <w:marTop w:val="0"/>
          <w:marBottom w:val="0"/>
          <w:divBdr>
            <w:top w:val="none" w:sz="0" w:space="0" w:color="auto"/>
            <w:left w:val="none" w:sz="0" w:space="0" w:color="auto"/>
            <w:bottom w:val="none" w:sz="0" w:space="0" w:color="auto"/>
            <w:right w:val="none" w:sz="0" w:space="0" w:color="auto"/>
          </w:divBdr>
        </w:div>
        <w:div w:id="1078944393">
          <w:marLeft w:val="0"/>
          <w:marRight w:val="0"/>
          <w:marTop w:val="0"/>
          <w:marBottom w:val="0"/>
          <w:divBdr>
            <w:top w:val="none" w:sz="0" w:space="0" w:color="auto"/>
            <w:left w:val="none" w:sz="0" w:space="0" w:color="auto"/>
            <w:bottom w:val="none" w:sz="0" w:space="0" w:color="auto"/>
            <w:right w:val="none" w:sz="0" w:space="0" w:color="auto"/>
          </w:divBdr>
        </w:div>
        <w:div w:id="953637280">
          <w:marLeft w:val="0"/>
          <w:marRight w:val="0"/>
          <w:marTop w:val="0"/>
          <w:marBottom w:val="0"/>
          <w:divBdr>
            <w:top w:val="none" w:sz="0" w:space="0" w:color="auto"/>
            <w:left w:val="none" w:sz="0" w:space="0" w:color="auto"/>
            <w:bottom w:val="none" w:sz="0" w:space="0" w:color="auto"/>
            <w:right w:val="none" w:sz="0" w:space="0" w:color="auto"/>
          </w:divBdr>
        </w:div>
        <w:div w:id="1659923072">
          <w:marLeft w:val="0"/>
          <w:marRight w:val="0"/>
          <w:marTop w:val="0"/>
          <w:marBottom w:val="0"/>
          <w:divBdr>
            <w:top w:val="none" w:sz="0" w:space="0" w:color="auto"/>
            <w:left w:val="none" w:sz="0" w:space="0" w:color="auto"/>
            <w:bottom w:val="none" w:sz="0" w:space="0" w:color="auto"/>
            <w:right w:val="none" w:sz="0" w:space="0" w:color="auto"/>
          </w:divBdr>
        </w:div>
        <w:div w:id="1480461972">
          <w:marLeft w:val="0"/>
          <w:marRight w:val="0"/>
          <w:marTop w:val="0"/>
          <w:marBottom w:val="0"/>
          <w:divBdr>
            <w:top w:val="none" w:sz="0" w:space="0" w:color="auto"/>
            <w:left w:val="none" w:sz="0" w:space="0" w:color="auto"/>
            <w:bottom w:val="none" w:sz="0" w:space="0" w:color="auto"/>
            <w:right w:val="none" w:sz="0" w:space="0" w:color="auto"/>
          </w:divBdr>
        </w:div>
        <w:div w:id="1365059351">
          <w:marLeft w:val="0"/>
          <w:marRight w:val="0"/>
          <w:marTop w:val="0"/>
          <w:marBottom w:val="0"/>
          <w:divBdr>
            <w:top w:val="none" w:sz="0" w:space="0" w:color="auto"/>
            <w:left w:val="none" w:sz="0" w:space="0" w:color="auto"/>
            <w:bottom w:val="none" w:sz="0" w:space="0" w:color="auto"/>
            <w:right w:val="none" w:sz="0" w:space="0" w:color="auto"/>
          </w:divBdr>
        </w:div>
        <w:div w:id="666245761">
          <w:marLeft w:val="0"/>
          <w:marRight w:val="0"/>
          <w:marTop w:val="0"/>
          <w:marBottom w:val="0"/>
          <w:divBdr>
            <w:top w:val="none" w:sz="0" w:space="0" w:color="auto"/>
            <w:left w:val="none" w:sz="0" w:space="0" w:color="auto"/>
            <w:bottom w:val="none" w:sz="0" w:space="0" w:color="auto"/>
            <w:right w:val="none" w:sz="0" w:space="0" w:color="auto"/>
          </w:divBdr>
        </w:div>
        <w:div w:id="1238444138">
          <w:marLeft w:val="0"/>
          <w:marRight w:val="0"/>
          <w:marTop w:val="0"/>
          <w:marBottom w:val="0"/>
          <w:divBdr>
            <w:top w:val="none" w:sz="0" w:space="0" w:color="auto"/>
            <w:left w:val="none" w:sz="0" w:space="0" w:color="auto"/>
            <w:bottom w:val="none" w:sz="0" w:space="0" w:color="auto"/>
            <w:right w:val="none" w:sz="0" w:space="0" w:color="auto"/>
          </w:divBdr>
        </w:div>
        <w:div w:id="143938207">
          <w:marLeft w:val="0"/>
          <w:marRight w:val="0"/>
          <w:marTop w:val="0"/>
          <w:marBottom w:val="0"/>
          <w:divBdr>
            <w:top w:val="none" w:sz="0" w:space="0" w:color="auto"/>
            <w:left w:val="none" w:sz="0" w:space="0" w:color="auto"/>
            <w:bottom w:val="none" w:sz="0" w:space="0" w:color="auto"/>
            <w:right w:val="none" w:sz="0" w:space="0" w:color="auto"/>
          </w:divBdr>
        </w:div>
        <w:div w:id="887256609">
          <w:marLeft w:val="0"/>
          <w:marRight w:val="0"/>
          <w:marTop w:val="0"/>
          <w:marBottom w:val="0"/>
          <w:divBdr>
            <w:top w:val="none" w:sz="0" w:space="0" w:color="auto"/>
            <w:left w:val="none" w:sz="0" w:space="0" w:color="auto"/>
            <w:bottom w:val="none" w:sz="0" w:space="0" w:color="auto"/>
            <w:right w:val="none" w:sz="0" w:space="0" w:color="auto"/>
          </w:divBdr>
        </w:div>
        <w:div w:id="28268098">
          <w:marLeft w:val="0"/>
          <w:marRight w:val="0"/>
          <w:marTop w:val="0"/>
          <w:marBottom w:val="0"/>
          <w:divBdr>
            <w:top w:val="none" w:sz="0" w:space="0" w:color="auto"/>
            <w:left w:val="none" w:sz="0" w:space="0" w:color="auto"/>
            <w:bottom w:val="none" w:sz="0" w:space="0" w:color="auto"/>
            <w:right w:val="none" w:sz="0" w:space="0" w:color="auto"/>
          </w:divBdr>
        </w:div>
        <w:div w:id="940331208">
          <w:marLeft w:val="0"/>
          <w:marRight w:val="0"/>
          <w:marTop w:val="0"/>
          <w:marBottom w:val="0"/>
          <w:divBdr>
            <w:top w:val="none" w:sz="0" w:space="0" w:color="auto"/>
            <w:left w:val="none" w:sz="0" w:space="0" w:color="auto"/>
            <w:bottom w:val="none" w:sz="0" w:space="0" w:color="auto"/>
            <w:right w:val="none" w:sz="0" w:space="0" w:color="auto"/>
          </w:divBdr>
        </w:div>
        <w:div w:id="721446525">
          <w:marLeft w:val="0"/>
          <w:marRight w:val="0"/>
          <w:marTop w:val="0"/>
          <w:marBottom w:val="0"/>
          <w:divBdr>
            <w:top w:val="none" w:sz="0" w:space="0" w:color="auto"/>
            <w:left w:val="none" w:sz="0" w:space="0" w:color="auto"/>
            <w:bottom w:val="none" w:sz="0" w:space="0" w:color="auto"/>
            <w:right w:val="none" w:sz="0" w:space="0" w:color="auto"/>
          </w:divBdr>
        </w:div>
        <w:div w:id="2123186491">
          <w:marLeft w:val="0"/>
          <w:marRight w:val="0"/>
          <w:marTop w:val="0"/>
          <w:marBottom w:val="0"/>
          <w:divBdr>
            <w:top w:val="none" w:sz="0" w:space="0" w:color="auto"/>
            <w:left w:val="none" w:sz="0" w:space="0" w:color="auto"/>
            <w:bottom w:val="none" w:sz="0" w:space="0" w:color="auto"/>
            <w:right w:val="none" w:sz="0" w:space="0" w:color="auto"/>
          </w:divBdr>
        </w:div>
        <w:div w:id="329062860">
          <w:marLeft w:val="0"/>
          <w:marRight w:val="0"/>
          <w:marTop w:val="0"/>
          <w:marBottom w:val="0"/>
          <w:divBdr>
            <w:top w:val="none" w:sz="0" w:space="0" w:color="auto"/>
            <w:left w:val="none" w:sz="0" w:space="0" w:color="auto"/>
            <w:bottom w:val="none" w:sz="0" w:space="0" w:color="auto"/>
            <w:right w:val="none" w:sz="0" w:space="0" w:color="auto"/>
          </w:divBdr>
        </w:div>
        <w:div w:id="777876349">
          <w:marLeft w:val="0"/>
          <w:marRight w:val="0"/>
          <w:marTop w:val="0"/>
          <w:marBottom w:val="0"/>
          <w:divBdr>
            <w:top w:val="none" w:sz="0" w:space="0" w:color="auto"/>
            <w:left w:val="none" w:sz="0" w:space="0" w:color="auto"/>
            <w:bottom w:val="none" w:sz="0" w:space="0" w:color="auto"/>
            <w:right w:val="none" w:sz="0" w:space="0" w:color="auto"/>
          </w:divBdr>
        </w:div>
        <w:div w:id="769786568">
          <w:marLeft w:val="0"/>
          <w:marRight w:val="0"/>
          <w:marTop w:val="0"/>
          <w:marBottom w:val="0"/>
          <w:divBdr>
            <w:top w:val="none" w:sz="0" w:space="0" w:color="auto"/>
            <w:left w:val="none" w:sz="0" w:space="0" w:color="auto"/>
            <w:bottom w:val="none" w:sz="0" w:space="0" w:color="auto"/>
            <w:right w:val="none" w:sz="0" w:space="0" w:color="auto"/>
          </w:divBdr>
        </w:div>
        <w:div w:id="1201358242">
          <w:marLeft w:val="0"/>
          <w:marRight w:val="0"/>
          <w:marTop w:val="0"/>
          <w:marBottom w:val="0"/>
          <w:divBdr>
            <w:top w:val="none" w:sz="0" w:space="0" w:color="auto"/>
            <w:left w:val="none" w:sz="0" w:space="0" w:color="auto"/>
            <w:bottom w:val="none" w:sz="0" w:space="0" w:color="auto"/>
            <w:right w:val="none" w:sz="0" w:space="0" w:color="auto"/>
          </w:divBdr>
        </w:div>
        <w:div w:id="1648129581">
          <w:marLeft w:val="0"/>
          <w:marRight w:val="0"/>
          <w:marTop w:val="0"/>
          <w:marBottom w:val="0"/>
          <w:divBdr>
            <w:top w:val="none" w:sz="0" w:space="0" w:color="auto"/>
            <w:left w:val="none" w:sz="0" w:space="0" w:color="auto"/>
            <w:bottom w:val="none" w:sz="0" w:space="0" w:color="auto"/>
            <w:right w:val="none" w:sz="0" w:space="0" w:color="auto"/>
          </w:divBdr>
        </w:div>
        <w:div w:id="1190490432">
          <w:marLeft w:val="0"/>
          <w:marRight w:val="0"/>
          <w:marTop w:val="0"/>
          <w:marBottom w:val="0"/>
          <w:divBdr>
            <w:top w:val="none" w:sz="0" w:space="0" w:color="auto"/>
            <w:left w:val="none" w:sz="0" w:space="0" w:color="auto"/>
            <w:bottom w:val="none" w:sz="0" w:space="0" w:color="auto"/>
            <w:right w:val="none" w:sz="0" w:space="0" w:color="auto"/>
          </w:divBdr>
        </w:div>
        <w:div w:id="1390492508">
          <w:marLeft w:val="0"/>
          <w:marRight w:val="0"/>
          <w:marTop w:val="0"/>
          <w:marBottom w:val="0"/>
          <w:divBdr>
            <w:top w:val="none" w:sz="0" w:space="0" w:color="auto"/>
            <w:left w:val="none" w:sz="0" w:space="0" w:color="auto"/>
            <w:bottom w:val="none" w:sz="0" w:space="0" w:color="auto"/>
            <w:right w:val="none" w:sz="0" w:space="0" w:color="auto"/>
          </w:divBdr>
        </w:div>
        <w:div w:id="1673217952">
          <w:marLeft w:val="0"/>
          <w:marRight w:val="0"/>
          <w:marTop w:val="0"/>
          <w:marBottom w:val="0"/>
          <w:divBdr>
            <w:top w:val="none" w:sz="0" w:space="0" w:color="auto"/>
            <w:left w:val="none" w:sz="0" w:space="0" w:color="auto"/>
            <w:bottom w:val="none" w:sz="0" w:space="0" w:color="auto"/>
            <w:right w:val="none" w:sz="0" w:space="0" w:color="auto"/>
          </w:divBdr>
        </w:div>
        <w:div w:id="1936549862">
          <w:marLeft w:val="0"/>
          <w:marRight w:val="0"/>
          <w:marTop w:val="0"/>
          <w:marBottom w:val="0"/>
          <w:divBdr>
            <w:top w:val="none" w:sz="0" w:space="0" w:color="auto"/>
            <w:left w:val="none" w:sz="0" w:space="0" w:color="auto"/>
            <w:bottom w:val="none" w:sz="0" w:space="0" w:color="auto"/>
            <w:right w:val="none" w:sz="0" w:space="0" w:color="auto"/>
          </w:divBdr>
        </w:div>
        <w:div w:id="32001191">
          <w:marLeft w:val="0"/>
          <w:marRight w:val="0"/>
          <w:marTop w:val="0"/>
          <w:marBottom w:val="0"/>
          <w:divBdr>
            <w:top w:val="none" w:sz="0" w:space="0" w:color="auto"/>
            <w:left w:val="none" w:sz="0" w:space="0" w:color="auto"/>
            <w:bottom w:val="none" w:sz="0" w:space="0" w:color="auto"/>
            <w:right w:val="none" w:sz="0" w:space="0" w:color="auto"/>
          </w:divBdr>
        </w:div>
        <w:div w:id="1394351399">
          <w:marLeft w:val="0"/>
          <w:marRight w:val="0"/>
          <w:marTop w:val="0"/>
          <w:marBottom w:val="0"/>
          <w:divBdr>
            <w:top w:val="none" w:sz="0" w:space="0" w:color="auto"/>
            <w:left w:val="none" w:sz="0" w:space="0" w:color="auto"/>
            <w:bottom w:val="none" w:sz="0" w:space="0" w:color="auto"/>
            <w:right w:val="none" w:sz="0" w:space="0" w:color="auto"/>
          </w:divBdr>
        </w:div>
        <w:div w:id="2123185388">
          <w:marLeft w:val="0"/>
          <w:marRight w:val="0"/>
          <w:marTop w:val="0"/>
          <w:marBottom w:val="0"/>
          <w:divBdr>
            <w:top w:val="none" w:sz="0" w:space="0" w:color="auto"/>
            <w:left w:val="none" w:sz="0" w:space="0" w:color="auto"/>
            <w:bottom w:val="none" w:sz="0" w:space="0" w:color="auto"/>
            <w:right w:val="none" w:sz="0" w:space="0" w:color="auto"/>
          </w:divBdr>
        </w:div>
        <w:div w:id="1269849797">
          <w:marLeft w:val="0"/>
          <w:marRight w:val="0"/>
          <w:marTop w:val="0"/>
          <w:marBottom w:val="0"/>
          <w:divBdr>
            <w:top w:val="none" w:sz="0" w:space="0" w:color="auto"/>
            <w:left w:val="none" w:sz="0" w:space="0" w:color="auto"/>
            <w:bottom w:val="none" w:sz="0" w:space="0" w:color="auto"/>
            <w:right w:val="none" w:sz="0" w:space="0" w:color="auto"/>
          </w:divBdr>
        </w:div>
      </w:divsChild>
    </w:div>
    <w:div w:id="1481847064">
      <w:bodyDiv w:val="1"/>
      <w:marLeft w:val="0"/>
      <w:marRight w:val="0"/>
      <w:marTop w:val="0"/>
      <w:marBottom w:val="0"/>
      <w:divBdr>
        <w:top w:val="none" w:sz="0" w:space="0" w:color="auto"/>
        <w:left w:val="none" w:sz="0" w:space="0" w:color="auto"/>
        <w:bottom w:val="none" w:sz="0" w:space="0" w:color="auto"/>
        <w:right w:val="none" w:sz="0" w:space="0" w:color="auto"/>
      </w:divBdr>
    </w:div>
    <w:div w:id="1526601180">
      <w:bodyDiv w:val="1"/>
      <w:marLeft w:val="0"/>
      <w:marRight w:val="0"/>
      <w:marTop w:val="0"/>
      <w:marBottom w:val="0"/>
      <w:divBdr>
        <w:top w:val="none" w:sz="0" w:space="0" w:color="auto"/>
        <w:left w:val="none" w:sz="0" w:space="0" w:color="auto"/>
        <w:bottom w:val="none" w:sz="0" w:space="0" w:color="auto"/>
        <w:right w:val="none" w:sz="0" w:space="0" w:color="auto"/>
      </w:divBdr>
    </w:div>
    <w:div w:id="1650131094">
      <w:bodyDiv w:val="1"/>
      <w:marLeft w:val="0"/>
      <w:marRight w:val="0"/>
      <w:marTop w:val="0"/>
      <w:marBottom w:val="0"/>
      <w:divBdr>
        <w:top w:val="none" w:sz="0" w:space="0" w:color="auto"/>
        <w:left w:val="none" w:sz="0" w:space="0" w:color="auto"/>
        <w:bottom w:val="none" w:sz="0" w:space="0" w:color="auto"/>
        <w:right w:val="none" w:sz="0" w:space="0" w:color="auto"/>
      </w:divBdr>
    </w:div>
    <w:div w:id="1931236589">
      <w:bodyDiv w:val="1"/>
      <w:marLeft w:val="0"/>
      <w:marRight w:val="0"/>
      <w:marTop w:val="0"/>
      <w:marBottom w:val="0"/>
      <w:divBdr>
        <w:top w:val="none" w:sz="0" w:space="0" w:color="auto"/>
        <w:left w:val="none" w:sz="0" w:space="0" w:color="auto"/>
        <w:bottom w:val="none" w:sz="0" w:space="0" w:color="auto"/>
        <w:right w:val="none" w:sz="0" w:space="0" w:color="auto"/>
      </w:divBdr>
    </w:div>
    <w:div w:id="1983078467">
      <w:bodyDiv w:val="1"/>
      <w:marLeft w:val="0"/>
      <w:marRight w:val="0"/>
      <w:marTop w:val="0"/>
      <w:marBottom w:val="0"/>
      <w:divBdr>
        <w:top w:val="none" w:sz="0" w:space="0" w:color="auto"/>
        <w:left w:val="none" w:sz="0" w:space="0" w:color="auto"/>
        <w:bottom w:val="none" w:sz="0" w:space="0" w:color="auto"/>
        <w:right w:val="none" w:sz="0" w:space="0" w:color="auto"/>
      </w:divBdr>
    </w:div>
    <w:div w:id="2050567833">
      <w:bodyDiv w:val="1"/>
      <w:marLeft w:val="0"/>
      <w:marRight w:val="0"/>
      <w:marTop w:val="0"/>
      <w:marBottom w:val="0"/>
      <w:divBdr>
        <w:top w:val="none" w:sz="0" w:space="0" w:color="auto"/>
        <w:left w:val="none" w:sz="0" w:space="0" w:color="auto"/>
        <w:bottom w:val="none" w:sz="0" w:space="0" w:color="auto"/>
        <w:right w:val="none" w:sz="0" w:space="0" w:color="auto"/>
      </w:divBdr>
    </w:div>
    <w:div w:id="2122064606">
      <w:bodyDiv w:val="1"/>
      <w:marLeft w:val="0"/>
      <w:marRight w:val="0"/>
      <w:marTop w:val="0"/>
      <w:marBottom w:val="0"/>
      <w:divBdr>
        <w:top w:val="none" w:sz="0" w:space="0" w:color="auto"/>
        <w:left w:val="none" w:sz="0" w:space="0" w:color="auto"/>
        <w:bottom w:val="none" w:sz="0" w:space="0" w:color="auto"/>
        <w:right w:val="none" w:sz="0" w:space="0" w:color="auto"/>
      </w:divBdr>
    </w:div>
    <w:div w:id="21438396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pacitymedia.com/articles/3828738/telia-carrier-is-out-on-its-own-after-sale-to-pension-fund-completed" TargetMode="External"/><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2.telegeography.com/ptc-2020"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potaroo.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computerworld.com/article/3625515/what-is-windows-365-microsoft-s-cloud-based-os-explained.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icrosoft.com/en-au/microsoft-365" TargetMode="Externa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E20203-AD22-0045-AE25-C1DE2EBEE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2159</Words>
  <Characters>12310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Manager/>
  <Company>APNIC</Company>
  <LinksUpToDate>false</LinksUpToDate>
  <CharactersWithSpaces>14441</CharactersWithSpaces>
  <SharedDoc>false</SharedDoc>
  <HyperlinkBase/>
  <HLinks>
    <vt:vector size="144" baseType="variant">
      <vt:variant>
        <vt:i4>2621525</vt:i4>
      </vt:variant>
      <vt:variant>
        <vt:i4>0</vt:i4>
      </vt:variant>
      <vt:variant>
        <vt:i4>0</vt:i4>
      </vt:variant>
      <vt:variant>
        <vt:i4>5</vt:i4>
      </vt:variant>
      <vt:variant>
        <vt:lpwstr>http://www.potaroo.net/</vt:lpwstr>
      </vt:variant>
      <vt:variant>
        <vt:lpwstr/>
      </vt:variant>
      <vt:variant>
        <vt:i4>589923</vt:i4>
      </vt:variant>
      <vt:variant>
        <vt:i4>7855</vt:i4>
      </vt:variant>
      <vt:variant>
        <vt:i4>1025</vt:i4>
      </vt:variant>
      <vt:variant>
        <vt:i4>1</vt:i4>
      </vt:variant>
      <vt:variant>
        <vt:lpwstr>v4-bgp-active-day</vt:lpwstr>
      </vt:variant>
      <vt:variant>
        <vt:lpwstr/>
      </vt:variant>
      <vt:variant>
        <vt:i4>8126495</vt:i4>
      </vt:variant>
      <vt:variant>
        <vt:i4>7903</vt:i4>
      </vt:variant>
      <vt:variant>
        <vt:i4>1026</vt:i4>
      </vt:variant>
      <vt:variant>
        <vt:i4>1</vt:i4>
      </vt:variant>
      <vt:variant>
        <vt:lpwstr>v4-bgp-spec-day</vt:lpwstr>
      </vt:variant>
      <vt:variant>
        <vt:lpwstr/>
      </vt:variant>
      <vt:variant>
        <vt:i4>2555933</vt:i4>
      </vt:variant>
      <vt:variant>
        <vt:i4>7944</vt:i4>
      </vt:variant>
      <vt:variant>
        <vt:i4>1027</vt:i4>
      </vt:variant>
      <vt:variant>
        <vt:i4>1</vt:i4>
      </vt:variant>
      <vt:variant>
        <vt:lpwstr>v4-bgp-as-count-day</vt:lpwstr>
      </vt:variant>
      <vt:variant>
        <vt:lpwstr/>
      </vt:variant>
      <vt:variant>
        <vt:i4>3866686</vt:i4>
      </vt:variant>
      <vt:variant>
        <vt:i4>7971</vt:i4>
      </vt:variant>
      <vt:variant>
        <vt:i4>1028</vt:i4>
      </vt:variant>
      <vt:variant>
        <vt:i4>1</vt:i4>
      </vt:variant>
      <vt:variant>
        <vt:lpwstr>v4-bgp-average-day</vt:lpwstr>
      </vt:variant>
      <vt:variant>
        <vt:lpwstr/>
      </vt:variant>
      <vt:variant>
        <vt:i4>6029313</vt:i4>
      </vt:variant>
      <vt:variant>
        <vt:i4>8011</vt:i4>
      </vt:variant>
      <vt:variant>
        <vt:i4>1033</vt:i4>
      </vt:variant>
      <vt:variant>
        <vt:i4>1</vt:i4>
      </vt:variant>
      <vt:variant>
        <vt:lpwstr>fig5</vt:lpwstr>
      </vt:variant>
      <vt:variant>
        <vt:lpwstr/>
      </vt:variant>
      <vt:variant>
        <vt:i4>6225921</vt:i4>
      </vt:variant>
      <vt:variant>
        <vt:i4>8056</vt:i4>
      </vt:variant>
      <vt:variant>
        <vt:i4>1034</vt:i4>
      </vt:variant>
      <vt:variant>
        <vt:i4>1</vt:i4>
      </vt:variant>
      <vt:variant>
        <vt:lpwstr>fig6</vt:lpwstr>
      </vt:variant>
      <vt:variant>
        <vt:lpwstr/>
      </vt:variant>
      <vt:variant>
        <vt:i4>6160385</vt:i4>
      </vt:variant>
      <vt:variant>
        <vt:i4>11298</vt:i4>
      </vt:variant>
      <vt:variant>
        <vt:i4>1031</vt:i4>
      </vt:variant>
      <vt:variant>
        <vt:i4>1</vt:i4>
      </vt:variant>
      <vt:variant>
        <vt:lpwstr>fig7</vt:lpwstr>
      </vt:variant>
      <vt:variant>
        <vt:lpwstr/>
      </vt:variant>
      <vt:variant>
        <vt:i4>5308417</vt:i4>
      </vt:variant>
      <vt:variant>
        <vt:i4>11357</vt:i4>
      </vt:variant>
      <vt:variant>
        <vt:i4>1032</vt:i4>
      </vt:variant>
      <vt:variant>
        <vt:i4>1</vt:i4>
      </vt:variant>
      <vt:variant>
        <vt:lpwstr>fig8</vt:lpwstr>
      </vt:variant>
      <vt:variant>
        <vt:lpwstr/>
      </vt:variant>
      <vt:variant>
        <vt:i4>5242881</vt:i4>
      </vt:variant>
      <vt:variant>
        <vt:i4>14364</vt:i4>
      </vt:variant>
      <vt:variant>
        <vt:i4>1044</vt:i4>
      </vt:variant>
      <vt:variant>
        <vt:i4>1</vt:i4>
      </vt:variant>
      <vt:variant>
        <vt:lpwstr>fig9</vt:lpwstr>
      </vt:variant>
      <vt:variant>
        <vt:lpwstr/>
      </vt:variant>
      <vt:variant>
        <vt:i4>5767217</vt:i4>
      </vt:variant>
      <vt:variant>
        <vt:i4>14412</vt:i4>
      </vt:variant>
      <vt:variant>
        <vt:i4>1045</vt:i4>
      </vt:variant>
      <vt:variant>
        <vt:i4>1</vt:i4>
      </vt:variant>
      <vt:variant>
        <vt:lpwstr>fig10</vt:lpwstr>
      </vt:variant>
      <vt:variant>
        <vt:lpwstr/>
      </vt:variant>
      <vt:variant>
        <vt:i4>5767216</vt:i4>
      </vt:variant>
      <vt:variant>
        <vt:i4>14454</vt:i4>
      </vt:variant>
      <vt:variant>
        <vt:i4>1046</vt:i4>
      </vt:variant>
      <vt:variant>
        <vt:i4>1</vt:i4>
      </vt:variant>
      <vt:variant>
        <vt:lpwstr>fig11</vt:lpwstr>
      </vt:variant>
      <vt:variant>
        <vt:lpwstr/>
      </vt:variant>
      <vt:variant>
        <vt:i4>5767219</vt:i4>
      </vt:variant>
      <vt:variant>
        <vt:i4>14484</vt:i4>
      </vt:variant>
      <vt:variant>
        <vt:i4>1047</vt:i4>
      </vt:variant>
      <vt:variant>
        <vt:i4>1</vt:i4>
      </vt:variant>
      <vt:variant>
        <vt:lpwstr>fig12</vt:lpwstr>
      </vt:variant>
      <vt:variant>
        <vt:lpwstr/>
      </vt:variant>
      <vt:variant>
        <vt:i4>5767218</vt:i4>
      </vt:variant>
      <vt:variant>
        <vt:i4>14525</vt:i4>
      </vt:variant>
      <vt:variant>
        <vt:i4>1048</vt:i4>
      </vt:variant>
      <vt:variant>
        <vt:i4>1</vt:i4>
      </vt:variant>
      <vt:variant>
        <vt:lpwstr>fig13</vt:lpwstr>
      </vt:variant>
      <vt:variant>
        <vt:lpwstr/>
      </vt:variant>
      <vt:variant>
        <vt:i4>5767221</vt:i4>
      </vt:variant>
      <vt:variant>
        <vt:i4>14571</vt:i4>
      </vt:variant>
      <vt:variant>
        <vt:i4>1049</vt:i4>
      </vt:variant>
      <vt:variant>
        <vt:i4>1</vt:i4>
      </vt:variant>
      <vt:variant>
        <vt:lpwstr>fig14</vt:lpwstr>
      </vt:variant>
      <vt:variant>
        <vt:lpwstr/>
      </vt:variant>
      <vt:variant>
        <vt:i4>5767220</vt:i4>
      </vt:variant>
      <vt:variant>
        <vt:i4>16056</vt:i4>
      </vt:variant>
      <vt:variant>
        <vt:i4>1041</vt:i4>
      </vt:variant>
      <vt:variant>
        <vt:i4>1</vt:i4>
      </vt:variant>
      <vt:variant>
        <vt:lpwstr>fig15</vt:lpwstr>
      </vt:variant>
      <vt:variant>
        <vt:lpwstr/>
      </vt:variant>
      <vt:variant>
        <vt:i4>5767223</vt:i4>
      </vt:variant>
      <vt:variant>
        <vt:i4>16097</vt:i4>
      </vt:variant>
      <vt:variant>
        <vt:i4>1042</vt:i4>
      </vt:variant>
      <vt:variant>
        <vt:i4>1</vt:i4>
      </vt:variant>
      <vt:variant>
        <vt:lpwstr>fig16</vt:lpwstr>
      </vt:variant>
      <vt:variant>
        <vt:lpwstr/>
      </vt:variant>
      <vt:variant>
        <vt:i4>5767222</vt:i4>
      </vt:variant>
      <vt:variant>
        <vt:i4>18239</vt:i4>
      </vt:variant>
      <vt:variant>
        <vt:i4>1036</vt:i4>
      </vt:variant>
      <vt:variant>
        <vt:i4>1</vt:i4>
      </vt:variant>
      <vt:variant>
        <vt:lpwstr>fig17</vt:lpwstr>
      </vt:variant>
      <vt:variant>
        <vt:lpwstr/>
      </vt:variant>
      <vt:variant>
        <vt:i4>5767225</vt:i4>
      </vt:variant>
      <vt:variant>
        <vt:i4>18281</vt:i4>
      </vt:variant>
      <vt:variant>
        <vt:i4>1035</vt:i4>
      </vt:variant>
      <vt:variant>
        <vt:i4>1</vt:i4>
      </vt:variant>
      <vt:variant>
        <vt:lpwstr>fig18</vt:lpwstr>
      </vt:variant>
      <vt:variant>
        <vt:lpwstr/>
      </vt:variant>
      <vt:variant>
        <vt:i4>5767224</vt:i4>
      </vt:variant>
      <vt:variant>
        <vt:i4>22437</vt:i4>
      </vt:variant>
      <vt:variant>
        <vt:i4>1039</vt:i4>
      </vt:variant>
      <vt:variant>
        <vt:i4>1</vt:i4>
      </vt:variant>
      <vt:variant>
        <vt:lpwstr>fig19</vt:lpwstr>
      </vt:variant>
      <vt:variant>
        <vt:lpwstr/>
      </vt:variant>
      <vt:variant>
        <vt:i4>5963825</vt:i4>
      </vt:variant>
      <vt:variant>
        <vt:i4>22830</vt:i4>
      </vt:variant>
      <vt:variant>
        <vt:i4>1040</vt:i4>
      </vt:variant>
      <vt:variant>
        <vt:i4>1</vt:i4>
      </vt:variant>
      <vt:variant>
        <vt:lpwstr>fig20</vt:lpwstr>
      </vt:variant>
      <vt:variant>
        <vt:lpwstr/>
      </vt:variant>
      <vt:variant>
        <vt:i4>5963824</vt:i4>
      </vt:variant>
      <vt:variant>
        <vt:i4>25231</vt:i4>
      </vt:variant>
      <vt:variant>
        <vt:i4>1043</vt:i4>
      </vt:variant>
      <vt:variant>
        <vt:i4>1</vt:i4>
      </vt:variant>
      <vt:variant>
        <vt:lpwstr>fig21</vt:lpwstr>
      </vt:variant>
      <vt:variant>
        <vt:lpwstr/>
      </vt:variant>
      <vt:variant>
        <vt:i4>5963824</vt:i4>
      </vt:variant>
      <vt:variant>
        <vt:i4>27966</vt:i4>
      </vt:variant>
      <vt:variant>
        <vt:i4>1037</vt:i4>
      </vt:variant>
      <vt:variant>
        <vt:i4>1</vt:i4>
      </vt:variant>
      <vt:variant>
        <vt:lpwstr>fig21</vt:lpwstr>
      </vt:variant>
      <vt:variant>
        <vt:lpwstr/>
      </vt:variant>
      <vt:variant>
        <vt:i4>5963827</vt:i4>
      </vt:variant>
      <vt:variant>
        <vt:i4>28021</vt:i4>
      </vt:variant>
      <vt:variant>
        <vt:i4>1038</vt:i4>
      </vt:variant>
      <vt:variant>
        <vt:i4>1</vt:i4>
      </vt:variant>
      <vt:variant>
        <vt:lpwstr>fig22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Huston</dc:creator>
  <cp:keywords/>
  <dc:description/>
  <cp:lastModifiedBy>Geoff Huston</cp:lastModifiedBy>
  <cp:revision>3</cp:revision>
  <cp:lastPrinted>2021-07-20T06:35:00Z</cp:lastPrinted>
  <dcterms:created xsi:type="dcterms:W3CDTF">2021-07-20T06:35:00Z</dcterms:created>
  <dcterms:modified xsi:type="dcterms:W3CDTF">2021-07-20T06:45:00Z</dcterms:modified>
  <cp:category/>
</cp:coreProperties>
</file>